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65" w:type="dxa"/>
        <w:tblInd w:w="108" w:type="dxa"/>
        <w:tblLayout w:type="fixed"/>
        <w:tblLook w:val="04A0" w:firstRow="1" w:lastRow="0" w:firstColumn="1" w:lastColumn="0" w:noHBand="0" w:noVBand="1"/>
      </w:tblPr>
      <w:tblGrid>
        <w:gridCol w:w="4281"/>
        <w:gridCol w:w="824"/>
        <w:gridCol w:w="4254"/>
        <w:gridCol w:w="106"/>
      </w:tblGrid>
      <w:tr w:rsidR="00B76454" w:rsidTr="00B76454">
        <w:trPr>
          <w:trHeight w:val="1265"/>
        </w:trPr>
        <w:tc>
          <w:tcPr>
            <w:tcW w:w="9462" w:type="dxa"/>
            <w:gridSpan w:val="4"/>
          </w:tcPr>
          <w:p w:rsidR="0091005F" w:rsidRPr="0091005F" w:rsidRDefault="0091005F" w:rsidP="0091005F">
            <w:pPr>
              <w:tabs>
                <w:tab w:val="left" w:pos="11840"/>
              </w:tabs>
              <w:spacing w:line="256" w:lineRule="auto"/>
              <w:ind w:left="3759" w:firstLine="851"/>
              <w:jc w:val="left"/>
              <w:rPr>
                <w:sz w:val="28"/>
              </w:rPr>
            </w:pPr>
            <w:r w:rsidRPr="0091005F">
              <w:rPr>
                <w:sz w:val="28"/>
              </w:rPr>
              <w:t>ЗАТВЕРДЖЕНО</w:t>
            </w:r>
          </w:p>
          <w:p w:rsidR="0091005F" w:rsidRPr="0091005F" w:rsidRDefault="0091005F" w:rsidP="0091005F">
            <w:pPr>
              <w:tabs>
                <w:tab w:val="left" w:pos="11840"/>
              </w:tabs>
              <w:spacing w:line="256" w:lineRule="auto"/>
              <w:ind w:left="3759" w:firstLine="851"/>
              <w:jc w:val="left"/>
              <w:rPr>
                <w:sz w:val="28"/>
              </w:rPr>
            </w:pPr>
            <w:r w:rsidRPr="0091005F">
              <w:rPr>
                <w:sz w:val="28"/>
              </w:rPr>
              <w:t>Рішення Львівської обласної ради</w:t>
            </w:r>
          </w:p>
          <w:p w:rsidR="0091005F" w:rsidRPr="0091005F" w:rsidRDefault="0091005F" w:rsidP="0091005F">
            <w:pPr>
              <w:tabs>
                <w:tab w:val="left" w:pos="11840"/>
              </w:tabs>
              <w:spacing w:line="256" w:lineRule="auto"/>
              <w:ind w:left="3759" w:firstLine="851"/>
              <w:jc w:val="left"/>
              <w:rPr>
                <w:sz w:val="28"/>
              </w:rPr>
            </w:pPr>
            <w:r w:rsidRPr="0091005F">
              <w:rPr>
                <w:sz w:val="28"/>
              </w:rPr>
              <w:t>від 23.02.2021 №73</w:t>
            </w:r>
          </w:p>
          <w:p w:rsidR="0091005F" w:rsidRPr="0091005F" w:rsidRDefault="0091005F" w:rsidP="0091005F">
            <w:pPr>
              <w:tabs>
                <w:tab w:val="left" w:pos="11840"/>
              </w:tabs>
              <w:spacing w:line="256" w:lineRule="auto"/>
              <w:ind w:left="3759" w:firstLine="851"/>
              <w:jc w:val="left"/>
              <w:rPr>
                <w:sz w:val="28"/>
              </w:rPr>
            </w:pPr>
            <w:r w:rsidRPr="0091005F">
              <w:rPr>
                <w:sz w:val="28"/>
              </w:rPr>
              <w:t>(у редакції розпорядження начальника</w:t>
            </w:r>
          </w:p>
          <w:p w:rsidR="0091005F" w:rsidRPr="0091005F" w:rsidRDefault="0091005F" w:rsidP="0091005F">
            <w:pPr>
              <w:tabs>
                <w:tab w:val="left" w:pos="11840"/>
              </w:tabs>
              <w:spacing w:line="256" w:lineRule="auto"/>
              <w:ind w:left="3759" w:firstLine="851"/>
              <w:jc w:val="left"/>
              <w:rPr>
                <w:sz w:val="28"/>
              </w:rPr>
            </w:pPr>
            <w:r w:rsidRPr="0091005F">
              <w:rPr>
                <w:sz w:val="28"/>
              </w:rPr>
              <w:t>обласної військової адміністрації</w:t>
            </w:r>
          </w:p>
          <w:p w:rsidR="00B76454" w:rsidRDefault="0091005F" w:rsidP="0091005F">
            <w:pPr>
              <w:tabs>
                <w:tab w:val="left" w:pos="11840"/>
              </w:tabs>
              <w:spacing w:line="256" w:lineRule="auto"/>
              <w:ind w:left="3759" w:firstLine="851"/>
              <w:jc w:val="left"/>
              <w:rPr>
                <w:sz w:val="28"/>
              </w:rPr>
            </w:pPr>
            <w:r w:rsidRPr="0091005F">
              <w:rPr>
                <w:sz w:val="28"/>
              </w:rPr>
              <w:t>від____________№____________)</w:t>
            </w:r>
            <w:r w:rsidR="00B76454">
              <w:rPr>
                <w:sz w:val="28"/>
              </w:rPr>
              <w:t xml:space="preserve">           </w:t>
            </w:r>
            <w:r w:rsidR="00B76454">
              <w:rPr>
                <w:sz w:val="28"/>
                <w:lang w:val="en-US"/>
              </w:rPr>
              <w:t xml:space="preserve">                          </w:t>
            </w:r>
          </w:p>
          <w:p w:rsidR="00B76454" w:rsidRDefault="00B76454">
            <w:pPr>
              <w:tabs>
                <w:tab w:val="left" w:pos="11840"/>
              </w:tabs>
              <w:spacing w:line="256" w:lineRule="auto"/>
              <w:ind w:firstLine="709"/>
              <w:jc w:val="center"/>
              <w:rPr>
                <w:sz w:val="28"/>
              </w:rPr>
            </w:pPr>
            <w:r>
              <w:rPr>
                <w:sz w:val="28"/>
              </w:rPr>
              <w:t xml:space="preserve">                                                                  </w:t>
            </w:r>
          </w:p>
          <w:p w:rsidR="00B76454" w:rsidRDefault="00B76454">
            <w:pPr>
              <w:tabs>
                <w:tab w:val="left" w:pos="11840"/>
              </w:tabs>
              <w:spacing w:line="256" w:lineRule="auto"/>
              <w:ind w:firstLine="709"/>
              <w:jc w:val="center"/>
              <w:rPr>
                <w:sz w:val="28"/>
                <w:lang w:val="en-US"/>
              </w:rPr>
            </w:pPr>
            <w:r>
              <w:rPr>
                <w:sz w:val="28"/>
              </w:rPr>
              <w:t xml:space="preserve">                                                         </w:t>
            </w:r>
          </w:p>
          <w:p w:rsidR="00B76454" w:rsidRDefault="00B76454">
            <w:pPr>
              <w:tabs>
                <w:tab w:val="left" w:pos="11840"/>
              </w:tabs>
              <w:spacing w:line="256" w:lineRule="auto"/>
              <w:ind w:firstLine="709"/>
              <w:jc w:val="center"/>
              <w:rPr>
                <w:sz w:val="28"/>
                <w:lang w:val="en-US"/>
              </w:rPr>
            </w:pPr>
            <w:bookmarkStart w:id="0" w:name="_GoBack"/>
            <w:bookmarkEnd w:id="0"/>
            <w:r>
              <w:rPr>
                <w:sz w:val="28"/>
              </w:rPr>
              <w:t xml:space="preserve">                 </w:t>
            </w:r>
          </w:p>
          <w:p w:rsidR="00B76454" w:rsidRDefault="00B76454">
            <w:pPr>
              <w:widowControl w:val="0"/>
              <w:spacing w:line="256" w:lineRule="auto"/>
              <w:ind w:left="589"/>
              <w:jc w:val="center"/>
              <w:rPr>
                <w:b/>
                <w:color w:val="000000"/>
                <w:sz w:val="36"/>
                <w:szCs w:val="36"/>
              </w:rPr>
            </w:pPr>
          </w:p>
          <w:p w:rsidR="00B76454" w:rsidRDefault="00B76454">
            <w:pPr>
              <w:widowControl w:val="0"/>
              <w:spacing w:line="256" w:lineRule="auto"/>
              <w:ind w:left="589"/>
              <w:jc w:val="center"/>
              <w:rPr>
                <w:b/>
                <w:color w:val="000000"/>
                <w:sz w:val="36"/>
                <w:szCs w:val="36"/>
              </w:rPr>
            </w:pPr>
          </w:p>
          <w:p w:rsidR="00B76454" w:rsidRDefault="00B76454">
            <w:pPr>
              <w:widowControl w:val="0"/>
              <w:spacing w:line="256" w:lineRule="auto"/>
              <w:ind w:left="589"/>
              <w:jc w:val="center"/>
              <w:rPr>
                <w:b/>
                <w:color w:val="000000"/>
                <w:sz w:val="36"/>
                <w:szCs w:val="36"/>
              </w:rPr>
            </w:pPr>
          </w:p>
          <w:p w:rsidR="00B76454" w:rsidRDefault="00B76454">
            <w:pPr>
              <w:widowControl w:val="0"/>
              <w:spacing w:line="256" w:lineRule="auto"/>
              <w:ind w:left="589"/>
              <w:jc w:val="center"/>
              <w:rPr>
                <w:b/>
                <w:color w:val="000000"/>
                <w:sz w:val="36"/>
                <w:szCs w:val="36"/>
              </w:rPr>
            </w:pPr>
          </w:p>
          <w:p w:rsidR="00B76454" w:rsidRDefault="00B76454">
            <w:pPr>
              <w:widowControl w:val="0"/>
              <w:spacing w:line="256" w:lineRule="auto"/>
              <w:ind w:left="589"/>
              <w:jc w:val="center"/>
              <w:rPr>
                <w:b/>
                <w:color w:val="000000"/>
                <w:sz w:val="36"/>
                <w:szCs w:val="36"/>
              </w:rPr>
            </w:pPr>
          </w:p>
        </w:tc>
      </w:tr>
      <w:tr w:rsidR="00B76454" w:rsidTr="00B76454">
        <w:trPr>
          <w:trHeight w:val="1815"/>
        </w:trPr>
        <w:tc>
          <w:tcPr>
            <w:tcW w:w="9462" w:type="dxa"/>
            <w:gridSpan w:val="4"/>
          </w:tcPr>
          <w:p w:rsidR="00B76454" w:rsidRDefault="00B76454">
            <w:pPr>
              <w:spacing w:line="256" w:lineRule="auto"/>
              <w:ind w:left="1259" w:hanging="1259"/>
              <w:jc w:val="center"/>
              <w:rPr>
                <w:b/>
                <w:sz w:val="32"/>
                <w:szCs w:val="32"/>
              </w:rPr>
            </w:pPr>
          </w:p>
          <w:p w:rsidR="00B76454" w:rsidRDefault="00B76454">
            <w:pPr>
              <w:spacing w:line="256" w:lineRule="auto"/>
              <w:ind w:left="1259" w:hanging="1259"/>
              <w:jc w:val="center"/>
              <w:rPr>
                <w:b/>
                <w:sz w:val="32"/>
                <w:szCs w:val="32"/>
              </w:rPr>
            </w:pPr>
          </w:p>
          <w:p w:rsidR="00B76454" w:rsidRDefault="00B76454">
            <w:pPr>
              <w:spacing w:line="256" w:lineRule="auto"/>
              <w:rPr>
                <w:b/>
                <w:sz w:val="32"/>
                <w:szCs w:val="32"/>
              </w:rPr>
            </w:pPr>
          </w:p>
          <w:p w:rsidR="00B76454" w:rsidRDefault="00B76454">
            <w:pPr>
              <w:spacing w:line="256" w:lineRule="auto"/>
              <w:ind w:left="1259" w:hanging="1259"/>
              <w:jc w:val="center"/>
              <w:rPr>
                <w:b/>
                <w:sz w:val="32"/>
                <w:szCs w:val="32"/>
              </w:rPr>
            </w:pPr>
          </w:p>
          <w:p w:rsidR="00B76454" w:rsidRDefault="00B76454">
            <w:pPr>
              <w:autoSpaceDE w:val="0"/>
              <w:autoSpaceDN w:val="0"/>
              <w:adjustRightInd w:val="0"/>
              <w:spacing w:line="288" w:lineRule="auto"/>
              <w:jc w:val="center"/>
              <w:rPr>
                <w:b/>
                <w:sz w:val="52"/>
                <w:szCs w:val="52"/>
              </w:rPr>
            </w:pPr>
            <w:r>
              <w:rPr>
                <w:b/>
                <w:sz w:val="52"/>
                <w:szCs w:val="52"/>
              </w:rPr>
              <w:t>П</w:t>
            </w:r>
            <w:bookmarkStart w:id="1" w:name="bookmark=id.2et92p0"/>
            <w:bookmarkEnd w:id="1"/>
            <w:r>
              <w:rPr>
                <w:b/>
                <w:sz w:val="52"/>
                <w:szCs w:val="52"/>
              </w:rPr>
              <w:t xml:space="preserve">рограма </w:t>
            </w:r>
          </w:p>
          <w:p w:rsidR="00B76454" w:rsidRDefault="00B76454">
            <w:pPr>
              <w:autoSpaceDE w:val="0"/>
              <w:autoSpaceDN w:val="0"/>
              <w:adjustRightInd w:val="0"/>
              <w:spacing w:line="288" w:lineRule="auto"/>
              <w:jc w:val="center"/>
              <w:rPr>
                <w:b/>
                <w:sz w:val="52"/>
                <w:szCs w:val="52"/>
              </w:rPr>
            </w:pPr>
            <w:r>
              <w:rPr>
                <w:b/>
                <w:sz w:val="52"/>
                <w:szCs w:val="52"/>
              </w:rPr>
              <w:t xml:space="preserve">«Молодь Львівщини» на </w:t>
            </w:r>
          </w:p>
          <w:p w:rsidR="00B76454" w:rsidRDefault="000177D4">
            <w:pPr>
              <w:autoSpaceDE w:val="0"/>
              <w:autoSpaceDN w:val="0"/>
              <w:adjustRightInd w:val="0"/>
              <w:spacing w:line="288" w:lineRule="auto"/>
              <w:jc w:val="center"/>
              <w:rPr>
                <w:b/>
                <w:sz w:val="52"/>
                <w:szCs w:val="52"/>
              </w:rPr>
            </w:pPr>
            <w:r>
              <w:rPr>
                <w:b/>
                <w:sz w:val="52"/>
                <w:szCs w:val="52"/>
              </w:rPr>
              <w:t>2021 - 2026 роки</w:t>
            </w:r>
            <w:r w:rsidR="00B76454">
              <w:rPr>
                <w:b/>
                <w:sz w:val="52"/>
                <w:szCs w:val="52"/>
              </w:rPr>
              <w:t xml:space="preserve"> </w:t>
            </w:r>
          </w:p>
          <w:p w:rsidR="00B76454" w:rsidRDefault="00B76454">
            <w:pPr>
              <w:spacing w:line="256" w:lineRule="auto"/>
              <w:jc w:val="center"/>
              <w:rPr>
                <w:b/>
                <w:sz w:val="16"/>
                <w:szCs w:val="16"/>
              </w:rPr>
            </w:pPr>
          </w:p>
        </w:tc>
      </w:tr>
      <w:tr w:rsidR="00B76454" w:rsidTr="00B76454">
        <w:trPr>
          <w:trHeight w:val="2529"/>
        </w:trPr>
        <w:tc>
          <w:tcPr>
            <w:tcW w:w="4279" w:type="dxa"/>
            <w:tcMar>
              <w:top w:w="0" w:type="dxa"/>
              <w:left w:w="0" w:type="dxa"/>
              <w:bottom w:w="0" w:type="dxa"/>
              <w:right w:w="0" w:type="dxa"/>
            </w:tcMar>
          </w:tcPr>
          <w:p w:rsidR="00B76454" w:rsidRDefault="00B76454">
            <w:pPr>
              <w:widowControl w:val="0"/>
              <w:spacing w:line="256" w:lineRule="auto"/>
              <w:rPr>
                <w:color w:val="000000"/>
                <w:sz w:val="24"/>
                <w:szCs w:val="24"/>
              </w:rPr>
            </w:pPr>
          </w:p>
        </w:tc>
        <w:tc>
          <w:tcPr>
            <w:tcW w:w="824" w:type="dxa"/>
            <w:tcMar>
              <w:top w:w="0" w:type="dxa"/>
              <w:left w:w="0" w:type="dxa"/>
              <w:bottom w:w="0" w:type="dxa"/>
              <w:right w:w="0" w:type="dxa"/>
            </w:tcMar>
          </w:tcPr>
          <w:p w:rsidR="00B76454" w:rsidRDefault="00B76454">
            <w:pPr>
              <w:spacing w:line="256" w:lineRule="auto"/>
              <w:rPr>
                <w:sz w:val="24"/>
                <w:szCs w:val="24"/>
              </w:rPr>
            </w:pPr>
          </w:p>
        </w:tc>
        <w:tc>
          <w:tcPr>
            <w:tcW w:w="4253" w:type="dxa"/>
            <w:tcMar>
              <w:top w:w="0" w:type="dxa"/>
              <w:left w:w="0" w:type="dxa"/>
              <w:bottom w:w="0" w:type="dxa"/>
              <w:right w:w="0" w:type="dxa"/>
            </w:tcMar>
          </w:tcPr>
          <w:p w:rsidR="00B76454" w:rsidRDefault="00B76454">
            <w:pPr>
              <w:spacing w:line="256" w:lineRule="auto"/>
            </w:pPr>
          </w:p>
        </w:tc>
        <w:tc>
          <w:tcPr>
            <w:tcW w:w="106" w:type="dxa"/>
            <w:tcMar>
              <w:top w:w="0" w:type="dxa"/>
              <w:left w:w="0" w:type="dxa"/>
              <w:bottom w:w="0" w:type="dxa"/>
              <w:right w:w="0" w:type="dxa"/>
            </w:tcMar>
          </w:tcPr>
          <w:p w:rsidR="00B76454" w:rsidRDefault="00B76454">
            <w:pPr>
              <w:spacing w:line="256" w:lineRule="auto"/>
            </w:pPr>
          </w:p>
        </w:tc>
      </w:tr>
    </w:tbl>
    <w:p w:rsidR="00B76454" w:rsidRDefault="00B76454" w:rsidP="00B76454">
      <w:pPr>
        <w:rPr>
          <w:b/>
          <w:sz w:val="28"/>
          <w:szCs w:val="28"/>
        </w:rPr>
      </w:pPr>
    </w:p>
    <w:p w:rsidR="00B76454" w:rsidRDefault="00B76454" w:rsidP="00B76454">
      <w:pPr>
        <w:rPr>
          <w:b/>
          <w:sz w:val="28"/>
          <w:szCs w:val="28"/>
        </w:rPr>
      </w:pPr>
    </w:p>
    <w:p w:rsidR="00B76454" w:rsidRDefault="00B76454" w:rsidP="00B76454">
      <w:pPr>
        <w:rPr>
          <w:b/>
          <w:sz w:val="28"/>
          <w:szCs w:val="28"/>
        </w:rPr>
      </w:pPr>
    </w:p>
    <w:p w:rsidR="00B76454" w:rsidRDefault="00B76454" w:rsidP="00B76454">
      <w:pPr>
        <w:rPr>
          <w:b/>
          <w:sz w:val="28"/>
          <w:szCs w:val="28"/>
        </w:rPr>
      </w:pPr>
    </w:p>
    <w:p w:rsidR="00B76454" w:rsidRDefault="00B76454" w:rsidP="00B76454">
      <w:pPr>
        <w:rPr>
          <w:b/>
          <w:sz w:val="28"/>
          <w:szCs w:val="28"/>
        </w:rPr>
      </w:pPr>
    </w:p>
    <w:p w:rsidR="00B76454" w:rsidRDefault="00B76454" w:rsidP="00B76454">
      <w:pPr>
        <w:rPr>
          <w:b/>
          <w:sz w:val="28"/>
          <w:szCs w:val="28"/>
        </w:rPr>
      </w:pPr>
    </w:p>
    <w:p w:rsidR="00B76454" w:rsidRDefault="00B76454" w:rsidP="00B76454">
      <w:pPr>
        <w:rPr>
          <w:b/>
          <w:sz w:val="28"/>
          <w:szCs w:val="28"/>
        </w:rPr>
      </w:pPr>
    </w:p>
    <w:p w:rsidR="00B76454" w:rsidRDefault="00B76454" w:rsidP="00B76454">
      <w:pPr>
        <w:jc w:val="center"/>
        <w:rPr>
          <w:b/>
          <w:sz w:val="28"/>
          <w:szCs w:val="28"/>
        </w:rPr>
      </w:pPr>
    </w:p>
    <w:p w:rsidR="00B76454" w:rsidRPr="00B76454" w:rsidRDefault="00E52234" w:rsidP="00B76454">
      <w:pPr>
        <w:autoSpaceDE w:val="0"/>
        <w:autoSpaceDN w:val="0"/>
        <w:adjustRightInd w:val="0"/>
        <w:jc w:val="center"/>
        <w:rPr>
          <w:sz w:val="16"/>
          <w:szCs w:val="16"/>
          <w:lang w:val="en-US" w:eastAsia="uk-UA"/>
        </w:rPr>
      </w:pPr>
      <w:r>
        <w:rPr>
          <w:b/>
          <w:sz w:val="28"/>
          <w:szCs w:val="28"/>
        </w:rPr>
        <w:t>Львів – 2025</w:t>
      </w:r>
    </w:p>
    <w:p w:rsidR="004D7A10" w:rsidRPr="00554B28" w:rsidRDefault="004D7A10" w:rsidP="004D7A10">
      <w:pPr>
        <w:jc w:val="center"/>
        <w:rPr>
          <w:b/>
          <w:sz w:val="28"/>
          <w:szCs w:val="28"/>
        </w:rPr>
      </w:pPr>
      <w:r w:rsidRPr="00554B28">
        <w:rPr>
          <w:b/>
          <w:sz w:val="28"/>
          <w:szCs w:val="28"/>
        </w:rPr>
        <w:lastRenderedPageBreak/>
        <w:t>Обласна програма</w:t>
      </w:r>
    </w:p>
    <w:p w:rsidR="004D7A10" w:rsidRPr="00554B28" w:rsidRDefault="00570D26" w:rsidP="004D7A10">
      <w:pPr>
        <w:jc w:val="center"/>
        <w:rPr>
          <w:b/>
          <w:sz w:val="28"/>
          <w:szCs w:val="28"/>
        </w:rPr>
      </w:pPr>
      <w:r>
        <w:rPr>
          <w:b/>
          <w:sz w:val="28"/>
          <w:szCs w:val="28"/>
        </w:rPr>
        <w:t>«Молодь Львівщини» на</w:t>
      </w:r>
      <w:r w:rsidR="000177D4">
        <w:rPr>
          <w:b/>
          <w:sz w:val="28"/>
          <w:szCs w:val="28"/>
        </w:rPr>
        <w:t xml:space="preserve"> 2021 - 2026 роки</w:t>
      </w:r>
    </w:p>
    <w:p w:rsidR="004D7A10" w:rsidRPr="00554B28" w:rsidRDefault="004D7A10" w:rsidP="004D7A10">
      <w:pPr>
        <w:rPr>
          <w:b/>
          <w:sz w:val="28"/>
          <w:szCs w:val="28"/>
        </w:rPr>
      </w:pPr>
    </w:p>
    <w:p w:rsidR="00E52234" w:rsidRPr="00E461A3" w:rsidRDefault="00E52234" w:rsidP="00E52234">
      <w:pPr>
        <w:jc w:val="center"/>
        <w:rPr>
          <w:b/>
          <w:sz w:val="28"/>
          <w:szCs w:val="28"/>
        </w:rPr>
      </w:pPr>
      <w:r w:rsidRPr="00E461A3">
        <w:rPr>
          <w:b/>
          <w:sz w:val="28"/>
          <w:szCs w:val="28"/>
        </w:rPr>
        <w:t>Загальні положення</w:t>
      </w:r>
    </w:p>
    <w:p w:rsidR="00E52234" w:rsidRPr="00E461A3" w:rsidRDefault="000177D4" w:rsidP="00E52234">
      <w:pPr>
        <w:ind w:firstLine="539"/>
        <w:rPr>
          <w:sz w:val="28"/>
          <w:szCs w:val="28"/>
        </w:rPr>
      </w:pPr>
      <w:r w:rsidRPr="000177D4">
        <w:rPr>
          <w:sz w:val="28"/>
          <w:szCs w:val="28"/>
        </w:rPr>
        <w:t>Обласна програма «Молодь Львівщини» на 20</w:t>
      </w:r>
      <w:r>
        <w:rPr>
          <w:sz w:val="28"/>
          <w:szCs w:val="28"/>
        </w:rPr>
        <w:t>21 – 2026 роки</w:t>
      </w:r>
      <w:r w:rsidR="00E52234" w:rsidRPr="00E461A3">
        <w:rPr>
          <w:sz w:val="28"/>
          <w:szCs w:val="28"/>
        </w:rPr>
        <w:t xml:space="preserve"> (далі – Програма) базується на визначенні молоді як осіб віком від 14 до 35 років,  що мають власні інтереси та потреби, чітке бачення їх реалізації та беруть активну участь у прийнятті рішень, що стосуються їх майбутнього.</w:t>
      </w:r>
    </w:p>
    <w:p w:rsidR="00E52234" w:rsidRPr="00E461A3" w:rsidRDefault="00E52234" w:rsidP="00E52234">
      <w:pPr>
        <w:ind w:firstLine="539"/>
        <w:rPr>
          <w:sz w:val="28"/>
          <w:szCs w:val="28"/>
        </w:rPr>
      </w:pPr>
      <w:r w:rsidRPr="00E461A3">
        <w:rPr>
          <w:sz w:val="28"/>
          <w:szCs w:val="28"/>
        </w:rPr>
        <w:t>Програма розроблена на підставі Закону України</w:t>
      </w:r>
      <w:bookmarkStart w:id="2" w:name="kix.sw8hmmjcbepo" w:colFirst="0" w:colLast="0"/>
      <w:bookmarkEnd w:id="2"/>
      <w:r w:rsidRPr="00E461A3">
        <w:rPr>
          <w:sz w:val="28"/>
          <w:szCs w:val="28"/>
        </w:rPr>
        <w:t xml:space="preserve"> від 27 квітня 2021 року         № 1414-IX «Про основні засади молодіжної політики», Указу Президента України від 12 березня 2021 року № 94/2021 «Про Національну молодіжну стратегію до 2030 року», розпорядженням Кабінету Міністрів України від 11 серпня 2025 р. № 840-р «Про схвалення Концепції Державної цільової соціальної програми «Молодь України: покоління стійкості – 2030»,   враховує програмні вимоги і перспективи Стратегії розвитку Львівської області на період з 2021- 2027 року (із змінами та доповненнями), Плану з її реалізації, Середньострокового плану пріоритетних публічних інвестицій Львівської області на 2026 - 2028 роки, а також ґрунтується на результатах попереднього етапу реалізації молодіжної політики в області.</w:t>
      </w:r>
    </w:p>
    <w:p w:rsidR="00E52234" w:rsidRPr="00E461A3" w:rsidRDefault="00E52234" w:rsidP="00E52234">
      <w:pPr>
        <w:ind w:firstLine="539"/>
        <w:rPr>
          <w:sz w:val="28"/>
          <w:szCs w:val="28"/>
        </w:rPr>
      </w:pPr>
      <w:r w:rsidRPr="00E461A3">
        <w:rPr>
          <w:sz w:val="28"/>
          <w:szCs w:val="28"/>
        </w:rPr>
        <w:t>Програма розроблена</w:t>
      </w:r>
      <w:r w:rsidR="00925796">
        <w:rPr>
          <w:sz w:val="28"/>
          <w:szCs w:val="28"/>
        </w:rPr>
        <w:t xml:space="preserve"> </w:t>
      </w:r>
      <w:r w:rsidR="00925796" w:rsidRPr="009666D9">
        <w:rPr>
          <w:sz w:val="28"/>
          <w:szCs w:val="28"/>
        </w:rPr>
        <w:t>з урахуванням дослідження</w:t>
      </w:r>
      <w:r w:rsidRPr="00E461A3">
        <w:rPr>
          <w:sz w:val="28"/>
          <w:szCs w:val="28"/>
        </w:rPr>
        <w:t xml:space="preserve"> у межах </w:t>
      </w:r>
      <w:proofErr w:type="spellStart"/>
      <w:r w:rsidRPr="00E461A3">
        <w:rPr>
          <w:sz w:val="28"/>
          <w:szCs w:val="28"/>
        </w:rPr>
        <w:t>проєкту</w:t>
      </w:r>
      <w:proofErr w:type="spellEnd"/>
      <w:r w:rsidRPr="00E461A3">
        <w:rPr>
          <w:sz w:val="28"/>
          <w:szCs w:val="28"/>
        </w:rPr>
        <w:t xml:space="preserve"> «Молодіжна участь та політика: посилення залучення молоді, врядування, бюджетування та розвитку життєвих навичок у Львівській, Волинській та Закарпатській областях», що реалізується ГО «Молодіжна платформа» за сприяння ЮНІСЕФ та за фінансової підтримки Уряду Німеччини через німецький державний б</w:t>
      </w:r>
      <w:r w:rsidR="00925796">
        <w:rPr>
          <w:sz w:val="28"/>
          <w:szCs w:val="28"/>
        </w:rPr>
        <w:t xml:space="preserve">анк розвитку </w:t>
      </w:r>
      <w:proofErr w:type="spellStart"/>
      <w:r w:rsidR="00925796">
        <w:rPr>
          <w:sz w:val="28"/>
          <w:szCs w:val="28"/>
        </w:rPr>
        <w:t>KfW</w:t>
      </w:r>
      <w:proofErr w:type="spellEnd"/>
      <w:r w:rsidR="00925796">
        <w:rPr>
          <w:sz w:val="28"/>
          <w:szCs w:val="28"/>
        </w:rPr>
        <w:t xml:space="preserve">, </w:t>
      </w:r>
      <w:r w:rsidR="00925796" w:rsidRPr="009666D9">
        <w:rPr>
          <w:sz w:val="28"/>
          <w:szCs w:val="28"/>
        </w:rPr>
        <w:t>для вдосконалення системи молодіжної політики.</w:t>
      </w:r>
    </w:p>
    <w:p w:rsidR="00E52234" w:rsidRPr="00E461A3" w:rsidRDefault="00E52234" w:rsidP="00E52234">
      <w:pPr>
        <w:rPr>
          <w:sz w:val="28"/>
          <w:szCs w:val="28"/>
          <w:lang w:val="en-US"/>
        </w:rPr>
      </w:pPr>
    </w:p>
    <w:p w:rsidR="00E52234" w:rsidRPr="00E461A3" w:rsidRDefault="00E52234" w:rsidP="00E52234">
      <w:pPr>
        <w:ind w:firstLine="27"/>
        <w:jc w:val="center"/>
        <w:rPr>
          <w:b/>
          <w:sz w:val="28"/>
          <w:szCs w:val="28"/>
        </w:rPr>
      </w:pPr>
      <w:r w:rsidRPr="00E461A3">
        <w:rPr>
          <w:b/>
          <w:sz w:val="28"/>
          <w:szCs w:val="28"/>
        </w:rPr>
        <w:t xml:space="preserve"> Обґрунтування стратегічних цілей Програми</w:t>
      </w:r>
    </w:p>
    <w:p w:rsidR="00E52234" w:rsidRPr="00E461A3" w:rsidRDefault="00E52234" w:rsidP="00E52234">
      <w:pPr>
        <w:ind w:firstLine="539"/>
        <w:rPr>
          <w:sz w:val="28"/>
          <w:szCs w:val="28"/>
        </w:rPr>
      </w:pPr>
      <w:r w:rsidRPr="00E461A3">
        <w:rPr>
          <w:sz w:val="28"/>
          <w:szCs w:val="28"/>
        </w:rPr>
        <w:t>Львівщина є одним з регіонів України з найвищим показником народжуваності (за даними 2022 року), що робить її демографічно молодшою у порівнянні з іншими регіонами. Частка молоді у структурі населення станом на 2022 рік складала 26%, у той час як аналогічний  показник по Україні прирівнювався до 24,3% від загальної чисельності постійного населення</w:t>
      </w:r>
      <w:r w:rsidRPr="00E461A3">
        <w:rPr>
          <w:rStyle w:val="ad"/>
          <w:sz w:val="28"/>
          <w:szCs w:val="28"/>
        </w:rPr>
        <w:footnoteReference w:id="1"/>
      </w:r>
      <w:r w:rsidRPr="00E461A3">
        <w:rPr>
          <w:sz w:val="28"/>
          <w:szCs w:val="28"/>
        </w:rPr>
        <w:t>. Аналіз станом на грудень 2024 року</w:t>
      </w:r>
      <w:r w:rsidRPr="00E461A3">
        <w:rPr>
          <w:rStyle w:val="ad"/>
          <w:sz w:val="28"/>
          <w:szCs w:val="28"/>
        </w:rPr>
        <w:footnoteReference w:id="2"/>
      </w:r>
      <w:r w:rsidRPr="00E461A3">
        <w:rPr>
          <w:sz w:val="28"/>
          <w:szCs w:val="28"/>
        </w:rPr>
        <w:t xml:space="preserve"> дозволяє говорити про збереження Львівщиною статусу області з найбільшою кількіст</w:t>
      </w:r>
      <w:r w:rsidR="00BE2C08">
        <w:rPr>
          <w:sz w:val="28"/>
          <w:szCs w:val="28"/>
        </w:rPr>
        <w:t xml:space="preserve">ю молоді. Тут утворено та діє </w:t>
      </w:r>
      <w:r w:rsidR="00BE2C08" w:rsidRPr="009666D9">
        <w:rPr>
          <w:sz w:val="28"/>
          <w:szCs w:val="28"/>
        </w:rPr>
        <w:t>35</w:t>
      </w:r>
      <w:r w:rsidRPr="009666D9">
        <w:rPr>
          <w:sz w:val="28"/>
          <w:szCs w:val="28"/>
        </w:rPr>
        <w:t xml:space="preserve"> молодіжни</w:t>
      </w:r>
      <w:r w:rsidR="00BE2C08" w:rsidRPr="009666D9">
        <w:rPr>
          <w:sz w:val="28"/>
          <w:szCs w:val="28"/>
        </w:rPr>
        <w:t>х рад загальною чисельністю 601 особа, з них 422 жінки та 179 чоловіків</w:t>
      </w:r>
      <w:r w:rsidRPr="009666D9">
        <w:rPr>
          <w:sz w:val="28"/>
          <w:szCs w:val="28"/>
        </w:rPr>
        <w:t>.</w:t>
      </w:r>
      <w:r w:rsidRPr="00E461A3">
        <w:rPr>
          <w:sz w:val="28"/>
          <w:szCs w:val="28"/>
        </w:rPr>
        <w:t xml:space="preserve"> </w:t>
      </w:r>
    </w:p>
    <w:p w:rsidR="00E52234" w:rsidRPr="00E461A3" w:rsidRDefault="00E52234" w:rsidP="00E52234">
      <w:pPr>
        <w:ind w:firstLine="539"/>
        <w:rPr>
          <w:sz w:val="28"/>
          <w:szCs w:val="28"/>
        </w:rPr>
      </w:pPr>
      <w:r w:rsidRPr="00E461A3">
        <w:rPr>
          <w:sz w:val="28"/>
          <w:szCs w:val="28"/>
        </w:rPr>
        <w:t xml:space="preserve">За інформацією </w:t>
      </w:r>
      <w:r w:rsidR="00642C0E" w:rsidRPr="00E461A3">
        <w:rPr>
          <w:sz w:val="28"/>
          <w:szCs w:val="28"/>
        </w:rPr>
        <w:t>ГО «Інститут молоді»</w:t>
      </w:r>
      <w:r w:rsidRPr="00E461A3">
        <w:rPr>
          <w:sz w:val="28"/>
          <w:szCs w:val="28"/>
        </w:rPr>
        <w:t xml:space="preserve">, що сформована за даними Державної служби статистики України на базі статистичного збірника «Розподіл постійного населення України за статтю та віком станом на 1 січня поточного року» загальна структура молоді у Львівській області у 2022 році виглядала наступним чином: </w:t>
      </w:r>
    </w:p>
    <w:p w:rsidR="00E52234" w:rsidRPr="00E461A3" w:rsidRDefault="00E52234" w:rsidP="00E52234">
      <w:pPr>
        <w:ind w:firstLine="539"/>
        <w:rPr>
          <w:sz w:val="16"/>
          <w:szCs w:val="16"/>
        </w:rPr>
      </w:pPr>
    </w:p>
    <w:tbl>
      <w:tblPr>
        <w:tblW w:w="9008" w:type="dxa"/>
        <w:tblCellMar>
          <w:top w:w="15" w:type="dxa"/>
          <w:left w:w="15" w:type="dxa"/>
          <w:bottom w:w="15" w:type="dxa"/>
          <w:right w:w="15" w:type="dxa"/>
        </w:tblCellMar>
        <w:tblLook w:val="04A0" w:firstRow="1" w:lastRow="0" w:firstColumn="1" w:lastColumn="0" w:noHBand="0" w:noVBand="1"/>
      </w:tblPr>
      <w:tblGrid>
        <w:gridCol w:w="2757"/>
        <w:gridCol w:w="1288"/>
        <w:gridCol w:w="988"/>
        <w:gridCol w:w="973"/>
        <w:gridCol w:w="836"/>
        <w:gridCol w:w="973"/>
        <w:gridCol w:w="1193"/>
      </w:tblGrid>
      <w:tr w:rsidR="00E52234" w:rsidRPr="00E461A3" w:rsidTr="00DE64EE">
        <w:trPr>
          <w:trHeight w:val="448"/>
        </w:trPr>
        <w:tc>
          <w:tcPr>
            <w:tcW w:w="2825"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p>
        </w:tc>
        <w:tc>
          <w:tcPr>
            <w:tcW w:w="1134"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Загальна чисельність молоді, осіб</w:t>
            </w:r>
          </w:p>
        </w:tc>
        <w:tc>
          <w:tcPr>
            <w:tcW w:w="992" w:type="dxa"/>
            <w:vMerge w:val="restart"/>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Частка, %</w:t>
            </w:r>
          </w:p>
        </w:tc>
        <w:tc>
          <w:tcPr>
            <w:tcW w:w="4057"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Кількість молодих людей віком (осіб):</w:t>
            </w:r>
          </w:p>
        </w:tc>
      </w:tr>
      <w:tr w:rsidR="00E52234" w:rsidRPr="00E461A3" w:rsidTr="00DE64EE">
        <w:trPr>
          <w:trHeight w:val="235"/>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rsidR="00E52234" w:rsidRPr="00E461A3" w:rsidRDefault="00E52234" w:rsidP="00DE64EE">
            <w:pPr>
              <w:rPr>
                <w:sz w:val="20"/>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E52234" w:rsidRPr="00E461A3" w:rsidRDefault="00E52234" w:rsidP="00DE64EE">
            <w:pPr>
              <w:rPr>
                <w:sz w:val="20"/>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E52234" w:rsidRPr="00E461A3" w:rsidRDefault="00E52234" w:rsidP="00DE64EE">
            <w:pPr>
              <w:rPr>
                <w:sz w:val="20"/>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14-19</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20-24</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25-29</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30-34</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 xml:space="preserve">Всього молодих людей, </w:t>
            </w:r>
            <w:r w:rsidRPr="00E461A3">
              <w:rPr>
                <w:color w:val="000000"/>
                <w:sz w:val="20"/>
              </w:rPr>
              <w:t>з них:</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645 044</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26%</w:t>
            </w:r>
          </w:p>
          <w:p w:rsidR="00E52234" w:rsidRPr="00E461A3" w:rsidRDefault="00E52234" w:rsidP="00642C0E">
            <w:pPr>
              <w:jc w:val="center"/>
              <w:rPr>
                <w:sz w:val="20"/>
              </w:rPr>
            </w:pP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157 022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131 071</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164 287</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192 664</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чоловіки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328 206</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51%</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80 198</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66 596</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83 849</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97 563</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Жінки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316 838</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49 %</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86 824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64 475</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80 438</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95 101</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Всього міської молоді</w:t>
            </w:r>
            <w:r w:rsidRPr="00E461A3">
              <w:rPr>
                <w:color w:val="000000"/>
                <w:sz w:val="20"/>
              </w:rPr>
              <w:t>, з них:</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385 202</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60 %</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96 092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77 551</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95 842</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115 717</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чоловіки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193 357</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50,2%</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49 004</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39 136</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48 119</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57 098</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Жінки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191 845</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49,8%</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47 088</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38 415</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47 723</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58 619</w:t>
            </w:r>
          </w:p>
        </w:tc>
      </w:tr>
      <w:tr w:rsidR="00E52234" w:rsidRPr="00E461A3" w:rsidTr="00DE64EE">
        <w:trPr>
          <w:trHeight w:val="262"/>
        </w:trPr>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rPr>
                <w:sz w:val="20"/>
              </w:rPr>
            </w:pPr>
            <w:r w:rsidRPr="00E461A3">
              <w:rPr>
                <w:b/>
                <w:bCs/>
                <w:color w:val="000000"/>
                <w:sz w:val="20"/>
              </w:rPr>
              <w:t>Всього проживає в селах</w:t>
            </w:r>
            <w:r w:rsidRPr="00E461A3">
              <w:rPr>
                <w:color w:val="000000"/>
                <w:sz w:val="20"/>
              </w:rPr>
              <w:t>, з них:</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248 769</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40%</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49 857</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53 520</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68 445</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76 947</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чоловіки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129 247</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52%</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25 592</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27 460</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35 730</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40 465</w:t>
            </w:r>
          </w:p>
        </w:tc>
      </w:tr>
      <w:tr w:rsidR="00E52234" w:rsidRPr="00E461A3" w:rsidTr="00DE64EE">
        <w:tc>
          <w:tcPr>
            <w:tcW w:w="282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DE64EE">
            <w:pPr>
              <w:jc w:val="right"/>
              <w:rPr>
                <w:sz w:val="20"/>
              </w:rPr>
            </w:pPr>
            <w:r w:rsidRPr="00E461A3">
              <w:rPr>
                <w:color w:val="000000"/>
                <w:sz w:val="20"/>
              </w:rPr>
              <w:t>Жінки</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119 522</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48%</w:t>
            </w:r>
          </w:p>
        </w:tc>
        <w:tc>
          <w:tcPr>
            <w:tcW w:w="99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24 265</w:t>
            </w:r>
          </w:p>
        </w:tc>
        <w:tc>
          <w:tcPr>
            <w:tcW w:w="8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26 060</w:t>
            </w:r>
          </w:p>
        </w:tc>
        <w:tc>
          <w:tcPr>
            <w:tcW w:w="99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32 715</w:t>
            </w:r>
          </w:p>
        </w:tc>
        <w:tc>
          <w:tcPr>
            <w:tcW w:w="122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52234" w:rsidRPr="00E461A3" w:rsidRDefault="00E52234" w:rsidP="00642C0E">
            <w:pPr>
              <w:jc w:val="center"/>
              <w:rPr>
                <w:sz w:val="20"/>
              </w:rPr>
            </w:pPr>
            <w:r w:rsidRPr="00E461A3">
              <w:rPr>
                <w:color w:val="000000"/>
                <w:sz w:val="20"/>
              </w:rPr>
              <w:t>36 482</w:t>
            </w:r>
          </w:p>
        </w:tc>
      </w:tr>
    </w:tbl>
    <w:p w:rsidR="00E52234" w:rsidRPr="00E461A3" w:rsidRDefault="00E52234" w:rsidP="00E52234">
      <w:pPr>
        <w:ind w:firstLine="539"/>
        <w:rPr>
          <w:sz w:val="16"/>
          <w:szCs w:val="16"/>
        </w:rPr>
      </w:pPr>
      <w:r w:rsidRPr="00E461A3">
        <w:rPr>
          <w:sz w:val="16"/>
          <w:szCs w:val="16"/>
        </w:rPr>
        <w:t xml:space="preserve"> </w:t>
      </w:r>
    </w:p>
    <w:p w:rsidR="00E52234" w:rsidRPr="00E461A3" w:rsidRDefault="00E52234" w:rsidP="00E52234">
      <w:pPr>
        <w:ind w:firstLine="539"/>
        <w:rPr>
          <w:sz w:val="28"/>
          <w:szCs w:val="28"/>
        </w:rPr>
      </w:pPr>
      <w:r w:rsidRPr="00E461A3">
        <w:rPr>
          <w:sz w:val="28"/>
          <w:szCs w:val="28"/>
        </w:rPr>
        <w:t xml:space="preserve">Окрім того, завдяки розвинутій освітній та культурній сфері, а також  територіальній близькості до Європи, область завжди була привабливою для студентів та прогресивних молодих людей. У Львівській області на початок 2023/24 навчального року зафіксовано понад 131 тис. студентів закладів фахової </w:t>
      </w:r>
      <w:proofErr w:type="spellStart"/>
      <w:r w:rsidRPr="00E461A3">
        <w:rPr>
          <w:sz w:val="28"/>
          <w:szCs w:val="28"/>
        </w:rPr>
        <w:t>передвищої</w:t>
      </w:r>
      <w:proofErr w:type="spellEnd"/>
      <w:r w:rsidRPr="00E461A3">
        <w:rPr>
          <w:sz w:val="28"/>
          <w:szCs w:val="28"/>
        </w:rPr>
        <w:t xml:space="preserve"> освіти та вищої освіти, що на 15% перевищує </w:t>
      </w:r>
      <w:r w:rsidR="003F6655" w:rsidRPr="009666D9">
        <w:rPr>
          <w:sz w:val="28"/>
          <w:szCs w:val="28"/>
        </w:rPr>
        <w:t>попередній</w:t>
      </w:r>
      <w:r w:rsidRPr="00E461A3">
        <w:rPr>
          <w:sz w:val="28"/>
          <w:szCs w:val="28"/>
        </w:rPr>
        <w:t xml:space="preserve"> показник</w:t>
      </w:r>
      <w:r w:rsidRPr="00E461A3">
        <w:rPr>
          <w:rStyle w:val="ad"/>
          <w:sz w:val="28"/>
          <w:szCs w:val="28"/>
        </w:rPr>
        <w:footnoteReference w:id="3"/>
      </w:r>
      <w:r w:rsidRPr="00E461A3">
        <w:rPr>
          <w:sz w:val="28"/>
          <w:szCs w:val="28"/>
        </w:rPr>
        <w:t>.</w:t>
      </w:r>
    </w:p>
    <w:p w:rsidR="00E52234" w:rsidRPr="00E461A3" w:rsidRDefault="00E52234" w:rsidP="00E52234">
      <w:pPr>
        <w:ind w:firstLine="539"/>
        <w:rPr>
          <w:sz w:val="28"/>
          <w:szCs w:val="28"/>
        </w:rPr>
      </w:pPr>
      <w:r w:rsidRPr="00E461A3">
        <w:rPr>
          <w:sz w:val="28"/>
          <w:szCs w:val="28"/>
        </w:rPr>
        <w:t>Сьогодні, в умовах війни, Львівська область є найпопулярнішою для внутрішньої міграції – 13% від загальної кількості ВПО в Україні проживають на території області</w:t>
      </w:r>
      <w:r w:rsidRPr="00E461A3">
        <w:rPr>
          <w:rStyle w:val="ad"/>
          <w:sz w:val="28"/>
          <w:szCs w:val="28"/>
        </w:rPr>
        <w:footnoteReference w:id="4"/>
      </w:r>
      <w:r w:rsidRPr="00E461A3">
        <w:rPr>
          <w:sz w:val="28"/>
          <w:szCs w:val="28"/>
        </w:rPr>
        <w:t xml:space="preserve">, значна частина яких це діти та молодь. </w:t>
      </w:r>
    </w:p>
    <w:p w:rsidR="00E52234" w:rsidRPr="00E461A3" w:rsidRDefault="00B30886" w:rsidP="00E52234">
      <w:pPr>
        <w:ind w:firstLine="539"/>
        <w:rPr>
          <w:sz w:val="28"/>
          <w:szCs w:val="28"/>
        </w:rPr>
      </w:pPr>
      <w:r w:rsidRPr="00E461A3">
        <w:rPr>
          <w:sz w:val="28"/>
          <w:szCs w:val="28"/>
        </w:rPr>
        <w:t>Попри брак актуальних</w:t>
      </w:r>
      <w:r w:rsidR="00E52234" w:rsidRPr="00E461A3">
        <w:rPr>
          <w:sz w:val="28"/>
          <w:szCs w:val="28"/>
        </w:rPr>
        <w:t xml:space="preserve"> статистичних даних, необхідних для чіткого окреслення демографічного профілю області, зазначені вище тенденції дозволяють говорити про ключову роль молоді у соціально-економічному житті регіону та важливість врахування її потреб та інтересів не лише при формуванні молодіжної політики, а й загальною стратегії розвитку регіону.</w:t>
      </w:r>
    </w:p>
    <w:p w:rsidR="00E52234" w:rsidRPr="00E461A3" w:rsidRDefault="00E52234" w:rsidP="00E52234">
      <w:pPr>
        <w:ind w:firstLine="539"/>
        <w:rPr>
          <w:sz w:val="28"/>
          <w:szCs w:val="28"/>
        </w:rPr>
      </w:pPr>
      <w:r w:rsidRPr="00E461A3">
        <w:rPr>
          <w:sz w:val="28"/>
          <w:szCs w:val="28"/>
        </w:rPr>
        <w:t>Аналіз потреб та запитів молоді Львівської області, що ліг в основу визначення проблематики та пріоритетів Програми, був здійснений за допомогою комплексного дослідження, проведеного у серпні-жовтні 2025 року за участю близько 300 молодих людей. Географічно дослідженням охоплено 10 цільових громад області (</w:t>
      </w:r>
      <w:proofErr w:type="spellStart"/>
      <w:r w:rsidRPr="00E461A3">
        <w:rPr>
          <w:sz w:val="28"/>
          <w:szCs w:val="28"/>
        </w:rPr>
        <w:t>Бродівська</w:t>
      </w:r>
      <w:proofErr w:type="spellEnd"/>
      <w:r w:rsidRPr="00E461A3">
        <w:rPr>
          <w:sz w:val="28"/>
          <w:szCs w:val="28"/>
        </w:rPr>
        <w:t xml:space="preserve">, </w:t>
      </w:r>
      <w:proofErr w:type="spellStart"/>
      <w:r w:rsidRPr="00E461A3">
        <w:rPr>
          <w:sz w:val="28"/>
          <w:szCs w:val="28"/>
        </w:rPr>
        <w:t>Жовківська</w:t>
      </w:r>
      <w:proofErr w:type="spellEnd"/>
      <w:r w:rsidRPr="00E461A3">
        <w:rPr>
          <w:sz w:val="28"/>
          <w:szCs w:val="28"/>
        </w:rPr>
        <w:t xml:space="preserve">, </w:t>
      </w:r>
      <w:proofErr w:type="spellStart"/>
      <w:r w:rsidRPr="00E461A3">
        <w:rPr>
          <w:sz w:val="28"/>
          <w:szCs w:val="28"/>
        </w:rPr>
        <w:t>Золочівськаї</w:t>
      </w:r>
      <w:proofErr w:type="spellEnd"/>
      <w:r w:rsidRPr="00E461A3">
        <w:rPr>
          <w:sz w:val="28"/>
          <w:szCs w:val="28"/>
        </w:rPr>
        <w:t xml:space="preserve">, Львівська, </w:t>
      </w:r>
      <w:proofErr w:type="spellStart"/>
      <w:r w:rsidRPr="00E461A3">
        <w:rPr>
          <w:sz w:val="28"/>
          <w:szCs w:val="28"/>
        </w:rPr>
        <w:t>Новояворівська</w:t>
      </w:r>
      <w:proofErr w:type="spellEnd"/>
      <w:r w:rsidRPr="00E461A3">
        <w:rPr>
          <w:sz w:val="28"/>
          <w:szCs w:val="28"/>
        </w:rPr>
        <w:t xml:space="preserve">, </w:t>
      </w:r>
      <w:proofErr w:type="spellStart"/>
      <w:r w:rsidRPr="00E461A3">
        <w:rPr>
          <w:sz w:val="28"/>
          <w:szCs w:val="28"/>
        </w:rPr>
        <w:t>Пустомитівська</w:t>
      </w:r>
      <w:proofErr w:type="spellEnd"/>
      <w:r w:rsidRPr="00E461A3">
        <w:rPr>
          <w:sz w:val="28"/>
          <w:szCs w:val="28"/>
        </w:rPr>
        <w:t xml:space="preserve">, </w:t>
      </w:r>
      <w:proofErr w:type="spellStart"/>
      <w:r w:rsidRPr="00E461A3">
        <w:rPr>
          <w:sz w:val="28"/>
          <w:szCs w:val="28"/>
        </w:rPr>
        <w:t>Радехівська</w:t>
      </w:r>
      <w:proofErr w:type="spellEnd"/>
      <w:r w:rsidRPr="00E461A3">
        <w:rPr>
          <w:sz w:val="28"/>
          <w:szCs w:val="28"/>
        </w:rPr>
        <w:t xml:space="preserve">, Самбірська, Стрийська та Шептицька), а також  </w:t>
      </w:r>
      <w:proofErr w:type="spellStart"/>
      <w:r w:rsidRPr="00E461A3">
        <w:rPr>
          <w:sz w:val="28"/>
          <w:szCs w:val="28"/>
        </w:rPr>
        <w:t>Буська</w:t>
      </w:r>
      <w:proofErr w:type="spellEnd"/>
      <w:r w:rsidRPr="00E461A3">
        <w:rPr>
          <w:sz w:val="28"/>
          <w:szCs w:val="28"/>
        </w:rPr>
        <w:t xml:space="preserve">, </w:t>
      </w:r>
      <w:proofErr w:type="spellStart"/>
      <w:r w:rsidRPr="00E461A3">
        <w:rPr>
          <w:sz w:val="28"/>
          <w:szCs w:val="28"/>
        </w:rPr>
        <w:t>Великомостівська</w:t>
      </w:r>
      <w:proofErr w:type="spellEnd"/>
      <w:r w:rsidRPr="00E461A3">
        <w:rPr>
          <w:sz w:val="28"/>
          <w:szCs w:val="28"/>
        </w:rPr>
        <w:t xml:space="preserve">, Миколаївська, Рава-Руська, </w:t>
      </w:r>
      <w:proofErr w:type="spellStart"/>
      <w:r w:rsidRPr="00E461A3">
        <w:rPr>
          <w:sz w:val="28"/>
          <w:szCs w:val="28"/>
        </w:rPr>
        <w:t>Зимноводівська</w:t>
      </w:r>
      <w:proofErr w:type="spellEnd"/>
      <w:r w:rsidRPr="00E461A3">
        <w:rPr>
          <w:sz w:val="28"/>
          <w:szCs w:val="28"/>
        </w:rPr>
        <w:t xml:space="preserve">, Трускавецька, </w:t>
      </w:r>
      <w:proofErr w:type="spellStart"/>
      <w:r w:rsidRPr="00E461A3">
        <w:rPr>
          <w:sz w:val="28"/>
          <w:szCs w:val="28"/>
        </w:rPr>
        <w:t>Сколівська</w:t>
      </w:r>
      <w:proofErr w:type="spellEnd"/>
      <w:r w:rsidRPr="00E461A3">
        <w:rPr>
          <w:sz w:val="28"/>
          <w:szCs w:val="28"/>
        </w:rPr>
        <w:t xml:space="preserve">, </w:t>
      </w:r>
      <w:proofErr w:type="spellStart"/>
      <w:r w:rsidRPr="00E461A3">
        <w:rPr>
          <w:sz w:val="28"/>
          <w:szCs w:val="28"/>
        </w:rPr>
        <w:t>Новороздільська</w:t>
      </w:r>
      <w:proofErr w:type="spellEnd"/>
      <w:r w:rsidRPr="00E461A3">
        <w:rPr>
          <w:sz w:val="28"/>
          <w:szCs w:val="28"/>
        </w:rPr>
        <w:t xml:space="preserve">, </w:t>
      </w:r>
      <w:proofErr w:type="spellStart"/>
      <w:r w:rsidRPr="00E461A3">
        <w:rPr>
          <w:sz w:val="28"/>
          <w:szCs w:val="28"/>
        </w:rPr>
        <w:t>Добромильська</w:t>
      </w:r>
      <w:proofErr w:type="spellEnd"/>
      <w:r w:rsidRPr="00E461A3">
        <w:rPr>
          <w:sz w:val="28"/>
          <w:szCs w:val="28"/>
        </w:rPr>
        <w:t xml:space="preserve">, </w:t>
      </w:r>
      <w:proofErr w:type="spellStart"/>
      <w:r w:rsidRPr="00E461A3">
        <w:rPr>
          <w:sz w:val="28"/>
          <w:szCs w:val="28"/>
        </w:rPr>
        <w:t>Ходорівська</w:t>
      </w:r>
      <w:proofErr w:type="spellEnd"/>
      <w:r w:rsidRPr="00E461A3">
        <w:rPr>
          <w:sz w:val="28"/>
          <w:szCs w:val="28"/>
        </w:rPr>
        <w:t xml:space="preserve">, </w:t>
      </w:r>
      <w:proofErr w:type="spellStart"/>
      <w:r w:rsidRPr="00E461A3">
        <w:rPr>
          <w:sz w:val="28"/>
          <w:szCs w:val="28"/>
        </w:rPr>
        <w:t>Оброшинська</w:t>
      </w:r>
      <w:proofErr w:type="spellEnd"/>
      <w:r w:rsidRPr="00E461A3">
        <w:rPr>
          <w:sz w:val="28"/>
          <w:szCs w:val="28"/>
        </w:rPr>
        <w:t xml:space="preserve">, </w:t>
      </w:r>
      <w:proofErr w:type="spellStart"/>
      <w:r w:rsidRPr="00E461A3">
        <w:rPr>
          <w:sz w:val="28"/>
          <w:szCs w:val="28"/>
        </w:rPr>
        <w:t>Ралівська</w:t>
      </w:r>
      <w:proofErr w:type="spellEnd"/>
      <w:r w:rsidRPr="00E461A3">
        <w:rPr>
          <w:sz w:val="28"/>
          <w:szCs w:val="28"/>
        </w:rPr>
        <w:t xml:space="preserve">, </w:t>
      </w:r>
      <w:proofErr w:type="spellStart"/>
      <w:r w:rsidRPr="00E461A3">
        <w:rPr>
          <w:sz w:val="28"/>
          <w:szCs w:val="28"/>
        </w:rPr>
        <w:t>Стрілківська</w:t>
      </w:r>
      <w:proofErr w:type="spellEnd"/>
      <w:r w:rsidRPr="00E461A3">
        <w:rPr>
          <w:sz w:val="28"/>
          <w:szCs w:val="28"/>
        </w:rPr>
        <w:t xml:space="preserve">, </w:t>
      </w:r>
      <w:proofErr w:type="spellStart"/>
      <w:r w:rsidRPr="00E461A3">
        <w:rPr>
          <w:sz w:val="28"/>
          <w:szCs w:val="28"/>
        </w:rPr>
        <w:t>Журавненська</w:t>
      </w:r>
      <w:proofErr w:type="spellEnd"/>
      <w:r w:rsidRPr="00E461A3">
        <w:rPr>
          <w:sz w:val="28"/>
          <w:szCs w:val="28"/>
        </w:rPr>
        <w:t xml:space="preserve">, </w:t>
      </w:r>
      <w:proofErr w:type="spellStart"/>
      <w:r w:rsidRPr="00E461A3">
        <w:rPr>
          <w:sz w:val="28"/>
          <w:szCs w:val="28"/>
        </w:rPr>
        <w:t>Гніздичівська</w:t>
      </w:r>
      <w:proofErr w:type="spellEnd"/>
      <w:r w:rsidRPr="00E461A3">
        <w:rPr>
          <w:sz w:val="28"/>
          <w:szCs w:val="28"/>
        </w:rPr>
        <w:t xml:space="preserve"> та Турківська територіальні громади.</w:t>
      </w:r>
    </w:p>
    <w:p w:rsidR="00E52234" w:rsidRPr="00E461A3" w:rsidRDefault="00E52234" w:rsidP="00E52234">
      <w:pPr>
        <w:ind w:firstLine="539"/>
        <w:rPr>
          <w:sz w:val="28"/>
          <w:szCs w:val="28"/>
        </w:rPr>
      </w:pPr>
      <w:r w:rsidRPr="00E461A3">
        <w:rPr>
          <w:sz w:val="28"/>
          <w:szCs w:val="28"/>
        </w:rPr>
        <w:lastRenderedPageBreak/>
        <w:t xml:space="preserve">Методологія передбачала </w:t>
      </w:r>
      <w:proofErr w:type="spellStart"/>
      <w:r w:rsidRPr="00E461A3">
        <w:rPr>
          <w:sz w:val="28"/>
          <w:szCs w:val="28"/>
        </w:rPr>
        <w:t>застосовання</w:t>
      </w:r>
      <w:proofErr w:type="spellEnd"/>
      <w:r w:rsidRPr="00E461A3">
        <w:rPr>
          <w:sz w:val="28"/>
          <w:szCs w:val="28"/>
        </w:rPr>
        <w:t xml:space="preserve"> змішаного дизайн дослідження (</w:t>
      </w:r>
      <w:proofErr w:type="spellStart"/>
      <w:r w:rsidRPr="00E461A3">
        <w:rPr>
          <w:sz w:val="28"/>
          <w:szCs w:val="28"/>
        </w:rPr>
        <w:t>mixed-methods</w:t>
      </w:r>
      <w:proofErr w:type="spellEnd"/>
      <w:r w:rsidRPr="00E461A3">
        <w:rPr>
          <w:sz w:val="28"/>
          <w:szCs w:val="28"/>
        </w:rPr>
        <w:t xml:space="preserve">) з </w:t>
      </w:r>
      <w:proofErr w:type="spellStart"/>
      <w:r w:rsidRPr="00E461A3">
        <w:rPr>
          <w:sz w:val="28"/>
          <w:szCs w:val="28"/>
        </w:rPr>
        <w:t>партисипативною</w:t>
      </w:r>
      <w:proofErr w:type="spellEnd"/>
      <w:r w:rsidRPr="00E461A3">
        <w:rPr>
          <w:sz w:val="28"/>
          <w:szCs w:val="28"/>
        </w:rPr>
        <w:t xml:space="preserve"> участю молоді.  Кількісний компонент реалізовано через </w:t>
      </w:r>
      <w:r w:rsidRPr="00E461A3">
        <w:rPr>
          <w:b/>
          <w:sz w:val="28"/>
          <w:szCs w:val="28"/>
        </w:rPr>
        <w:t>онлайн-анкетування</w:t>
      </w:r>
      <w:r w:rsidR="00B30886" w:rsidRPr="00E461A3">
        <w:rPr>
          <w:sz w:val="28"/>
          <w:szCs w:val="28"/>
        </w:rPr>
        <w:t xml:space="preserve"> (192 респонденти</w:t>
      </w:r>
      <w:r w:rsidRPr="00E461A3">
        <w:rPr>
          <w:sz w:val="28"/>
          <w:szCs w:val="28"/>
        </w:rPr>
        <w:t xml:space="preserve">), а якісний - через 19 </w:t>
      </w:r>
      <w:r w:rsidRPr="00E461A3">
        <w:rPr>
          <w:b/>
          <w:sz w:val="28"/>
          <w:szCs w:val="28"/>
        </w:rPr>
        <w:t>фокус-групових дискусій</w:t>
      </w:r>
      <w:r w:rsidR="00B30886" w:rsidRPr="00E461A3">
        <w:rPr>
          <w:sz w:val="28"/>
          <w:szCs w:val="28"/>
        </w:rPr>
        <w:t xml:space="preserve"> (114 учасників</w:t>
      </w:r>
      <w:r w:rsidRPr="00E461A3">
        <w:rPr>
          <w:sz w:val="28"/>
          <w:szCs w:val="28"/>
        </w:rPr>
        <w:t xml:space="preserve">). </w:t>
      </w:r>
    </w:p>
    <w:p w:rsidR="00E52234" w:rsidRPr="00E461A3" w:rsidRDefault="00E52234" w:rsidP="00E52234">
      <w:pPr>
        <w:ind w:firstLine="539"/>
        <w:rPr>
          <w:sz w:val="28"/>
          <w:szCs w:val="28"/>
        </w:rPr>
      </w:pPr>
      <w:r w:rsidRPr="00E461A3">
        <w:rPr>
          <w:sz w:val="28"/>
          <w:szCs w:val="28"/>
        </w:rPr>
        <w:t>Вибірка громад формувалася за критерієм наявності молодіжних центрів у громадах, а вибірка респондентів – за квотним методом (вік, стать, тип населеного пункту).</w:t>
      </w:r>
    </w:p>
    <w:p w:rsidR="00E52234" w:rsidRPr="00E461A3" w:rsidRDefault="00E52234" w:rsidP="00E52234">
      <w:pPr>
        <w:ind w:firstLine="539"/>
        <w:rPr>
          <w:sz w:val="28"/>
          <w:szCs w:val="28"/>
        </w:rPr>
      </w:pPr>
    </w:p>
    <w:tbl>
      <w:tblPr>
        <w:tblStyle w:val="ae"/>
        <w:tblW w:w="0" w:type="auto"/>
        <w:tblInd w:w="2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3996"/>
      </w:tblGrid>
      <w:tr w:rsidR="00E52234" w:rsidRPr="00E461A3" w:rsidTr="00DE64EE">
        <w:tc>
          <w:tcPr>
            <w:tcW w:w="4509" w:type="dxa"/>
          </w:tcPr>
          <w:p w:rsidR="00E52234" w:rsidRPr="00E461A3" w:rsidRDefault="00E52234" w:rsidP="00DE64EE">
            <w:pPr>
              <w:jc w:val="center"/>
              <w:rPr>
                <w:sz w:val="24"/>
                <w:szCs w:val="24"/>
                <w:lang w:val="uk-UA"/>
              </w:rPr>
            </w:pPr>
            <w:r w:rsidRPr="00E461A3">
              <w:rPr>
                <w:sz w:val="24"/>
                <w:szCs w:val="24"/>
                <w:lang w:val="uk-UA"/>
              </w:rPr>
              <w:t>Розподіл за статтю</w:t>
            </w:r>
          </w:p>
        </w:tc>
        <w:tc>
          <w:tcPr>
            <w:tcW w:w="3996" w:type="dxa"/>
          </w:tcPr>
          <w:p w:rsidR="00E52234" w:rsidRPr="00E461A3" w:rsidRDefault="00E52234" w:rsidP="00DE64EE">
            <w:pPr>
              <w:jc w:val="center"/>
              <w:rPr>
                <w:sz w:val="24"/>
                <w:szCs w:val="24"/>
                <w:lang w:val="uk-UA"/>
              </w:rPr>
            </w:pPr>
            <w:r w:rsidRPr="00E461A3">
              <w:rPr>
                <w:sz w:val="24"/>
                <w:szCs w:val="24"/>
                <w:lang w:val="uk-UA"/>
              </w:rPr>
              <w:t>Розподіл за віком</w:t>
            </w:r>
          </w:p>
        </w:tc>
      </w:tr>
      <w:tr w:rsidR="00E52234" w:rsidRPr="00E461A3" w:rsidTr="00DE64EE">
        <w:tc>
          <w:tcPr>
            <w:tcW w:w="4509" w:type="dxa"/>
          </w:tcPr>
          <w:p w:rsidR="00E52234" w:rsidRPr="00E461A3" w:rsidRDefault="00E52234" w:rsidP="00DE64EE">
            <w:pPr>
              <w:rPr>
                <w:sz w:val="28"/>
                <w:szCs w:val="28"/>
              </w:rPr>
            </w:pPr>
            <w:r w:rsidRPr="00E461A3">
              <w:rPr>
                <w:noProof/>
                <w:sz w:val="28"/>
                <w:szCs w:val="28"/>
                <w:lang w:eastAsia="uk-UA"/>
              </w:rPr>
              <w:drawing>
                <wp:inline distT="0" distB="0" distL="0" distR="0" wp14:anchorId="0D1BD830" wp14:editId="00416DB4">
                  <wp:extent cx="2120900" cy="852038"/>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54195" cy="865414"/>
                          </a:xfrm>
                          <a:prstGeom prst="rect">
                            <a:avLst/>
                          </a:prstGeom>
                        </pic:spPr>
                      </pic:pic>
                    </a:graphicData>
                  </a:graphic>
                </wp:inline>
              </w:drawing>
            </w:r>
          </w:p>
        </w:tc>
        <w:tc>
          <w:tcPr>
            <w:tcW w:w="3996" w:type="dxa"/>
          </w:tcPr>
          <w:p w:rsidR="00E52234" w:rsidRPr="00E461A3" w:rsidRDefault="00E52234" w:rsidP="00DE64EE">
            <w:pPr>
              <w:rPr>
                <w:sz w:val="28"/>
                <w:szCs w:val="28"/>
              </w:rPr>
            </w:pPr>
            <w:r w:rsidRPr="00E461A3">
              <w:rPr>
                <w:noProof/>
                <w:sz w:val="28"/>
                <w:szCs w:val="28"/>
                <w:lang w:eastAsia="uk-UA"/>
              </w:rPr>
              <w:drawing>
                <wp:inline distT="0" distB="0" distL="0" distR="0" wp14:anchorId="691A31B5" wp14:editId="2CF1EA1D">
                  <wp:extent cx="2228965" cy="80014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28965" cy="800141"/>
                          </a:xfrm>
                          <a:prstGeom prst="rect">
                            <a:avLst/>
                          </a:prstGeom>
                        </pic:spPr>
                      </pic:pic>
                    </a:graphicData>
                  </a:graphic>
                </wp:inline>
              </w:drawing>
            </w:r>
          </w:p>
        </w:tc>
      </w:tr>
    </w:tbl>
    <w:p w:rsidR="00E52234" w:rsidRPr="00E461A3" w:rsidRDefault="00E52234" w:rsidP="00E52234">
      <w:pPr>
        <w:ind w:firstLine="539"/>
        <w:rPr>
          <w:sz w:val="16"/>
          <w:szCs w:val="16"/>
        </w:rPr>
      </w:pPr>
    </w:p>
    <w:p w:rsidR="00E52234" w:rsidRPr="00E461A3" w:rsidRDefault="00E52234" w:rsidP="00E52234">
      <w:pPr>
        <w:ind w:left="1440" w:firstLine="539"/>
        <w:rPr>
          <w:i/>
          <w:sz w:val="24"/>
          <w:szCs w:val="24"/>
        </w:rPr>
      </w:pPr>
      <w:r w:rsidRPr="00E461A3">
        <w:rPr>
          <w:i/>
          <w:sz w:val="24"/>
          <w:szCs w:val="24"/>
        </w:rPr>
        <w:t>Вік та стать учасників та учасниць онлайн-анкетування</w:t>
      </w:r>
    </w:p>
    <w:p w:rsidR="00E52234" w:rsidRPr="00E461A3" w:rsidRDefault="00E52234" w:rsidP="00E52234">
      <w:pPr>
        <w:ind w:firstLine="539"/>
        <w:rPr>
          <w:sz w:val="28"/>
          <w:szCs w:val="28"/>
        </w:rPr>
      </w:pPr>
    </w:p>
    <w:p w:rsidR="00E52234" w:rsidRPr="00E461A3" w:rsidRDefault="00E52234" w:rsidP="00E52234">
      <w:pPr>
        <w:shd w:val="clear" w:color="auto" w:fill="FFFFFF"/>
        <w:tabs>
          <w:tab w:val="left" w:pos="284"/>
        </w:tabs>
        <w:ind w:firstLine="539"/>
        <w:rPr>
          <w:color w:val="1B1C1D"/>
          <w:sz w:val="28"/>
          <w:szCs w:val="28"/>
        </w:rPr>
      </w:pPr>
      <w:r w:rsidRPr="00E461A3">
        <w:rPr>
          <w:color w:val="1B1C1D"/>
          <w:sz w:val="28"/>
          <w:szCs w:val="28"/>
        </w:rPr>
        <w:t>Серед учасників та учасниць онлайн-анкетування були представлені молодь у складних життєвих обставинах (6,2%); молодь з числа внутрішньо переміщених осіб  (5,2%); мешканці сіл/селищ  (30%), молодь, що перебуває в офіційному шлюбі (13,5 %); молоді батьки (7,8%); працевлаштована молодь (26,6%).</w:t>
      </w:r>
    </w:p>
    <w:p w:rsidR="00E52234" w:rsidRPr="00E461A3" w:rsidRDefault="00E52234" w:rsidP="00E52234">
      <w:pPr>
        <w:shd w:val="clear" w:color="auto" w:fill="FFFFFF"/>
        <w:tabs>
          <w:tab w:val="left" w:pos="284"/>
        </w:tabs>
        <w:ind w:firstLine="539"/>
        <w:rPr>
          <w:color w:val="1B1C1D"/>
          <w:sz w:val="16"/>
          <w:szCs w:val="16"/>
        </w:rPr>
      </w:pPr>
    </w:p>
    <w:tbl>
      <w:tblPr>
        <w:tblStyle w:val="ae"/>
        <w:tblW w:w="0" w:type="auto"/>
        <w:tblInd w:w="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9"/>
        <w:gridCol w:w="4133"/>
      </w:tblGrid>
      <w:tr w:rsidR="00E52234" w:rsidRPr="00E461A3" w:rsidTr="00DE64EE">
        <w:tc>
          <w:tcPr>
            <w:tcW w:w="4509" w:type="dxa"/>
          </w:tcPr>
          <w:p w:rsidR="00E52234" w:rsidRPr="00E461A3" w:rsidRDefault="00E52234" w:rsidP="00DE64EE">
            <w:pPr>
              <w:tabs>
                <w:tab w:val="left" w:pos="284"/>
              </w:tabs>
              <w:jc w:val="center"/>
              <w:rPr>
                <w:color w:val="1B1C1D"/>
                <w:sz w:val="24"/>
                <w:szCs w:val="24"/>
                <w:lang w:val="uk-UA"/>
              </w:rPr>
            </w:pPr>
            <w:r w:rsidRPr="00E461A3">
              <w:rPr>
                <w:color w:val="1B1C1D"/>
                <w:sz w:val="24"/>
                <w:szCs w:val="24"/>
                <w:lang w:val="uk-UA"/>
              </w:rPr>
              <w:t>Розподіл за статтю</w:t>
            </w:r>
          </w:p>
        </w:tc>
        <w:tc>
          <w:tcPr>
            <w:tcW w:w="4133" w:type="dxa"/>
          </w:tcPr>
          <w:p w:rsidR="00E52234" w:rsidRPr="00E461A3" w:rsidRDefault="00E52234" w:rsidP="00DE64EE">
            <w:pPr>
              <w:tabs>
                <w:tab w:val="left" w:pos="284"/>
              </w:tabs>
              <w:jc w:val="center"/>
              <w:rPr>
                <w:color w:val="1B1C1D"/>
                <w:sz w:val="24"/>
                <w:szCs w:val="24"/>
                <w:lang w:val="uk-UA"/>
              </w:rPr>
            </w:pPr>
            <w:r w:rsidRPr="00E461A3">
              <w:rPr>
                <w:color w:val="1B1C1D"/>
                <w:sz w:val="24"/>
                <w:szCs w:val="24"/>
                <w:lang w:val="uk-UA"/>
              </w:rPr>
              <w:t>Розподіл за віком</w:t>
            </w:r>
          </w:p>
        </w:tc>
      </w:tr>
      <w:tr w:rsidR="00E52234" w:rsidRPr="00E461A3" w:rsidTr="00DE64EE">
        <w:tc>
          <w:tcPr>
            <w:tcW w:w="4509" w:type="dxa"/>
          </w:tcPr>
          <w:p w:rsidR="00E52234" w:rsidRPr="00E461A3" w:rsidRDefault="00E52234" w:rsidP="00DE64EE">
            <w:pPr>
              <w:tabs>
                <w:tab w:val="left" w:pos="284"/>
              </w:tabs>
              <w:rPr>
                <w:color w:val="1B1C1D"/>
                <w:sz w:val="28"/>
                <w:szCs w:val="28"/>
              </w:rPr>
            </w:pPr>
            <w:r w:rsidRPr="00E461A3">
              <w:rPr>
                <w:noProof/>
                <w:color w:val="1B1C1D"/>
                <w:sz w:val="28"/>
                <w:szCs w:val="28"/>
                <w:lang w:eastAsia="uk-UA"/>
              </w:rPr>
              <w:drawing>
                <wp:inline distT="0" distB="0" distL="0" distR="0" wp14:anchorId="57AF17FA" wp14:editId="7337A98F">
                  <wp:extent cx="2254366" cy="800141"/>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254366" cy="800141"/>
                          </a:xfrm>
                          <a:prstGeom prst="rect">
                            <a:avLst/>
                          </a:prstGeom>
                        </pic:spPr>
                      </pic:pic>
                    </a:graphicData>
                  </a:graphic>
                </wp:inline>
              </w:drawing>
            </w:r>
          </w:p>
        </w:tc>
        <w:tc>
          <w:tcPr>
            <w:tcW w:w="4133" w:type="dxa"/>
          </w:tcPr>
          <w:p w:rsidR="00E52234" w:rsidRPr="00E461A3" w:rsidRDefault="00E52234" w:rsidP="00DE64EE">
            <w:pPr>
              <w:tabs>
                <w:tab w:val="left" w:pos="284"/>
              </w:tabs>
              <w:rPr>
                <w:color w:val="1B1C1D"/>
                <w:sz w:val="28"/>
                <w:szCs w:val="28"/>
              </w:rPr>
            </w:pPr>
            <w:r w:rsidRPr="00E461A3">
              <w:rPr>
                <w:noProof/>
                <w:color w:val="1B1C1D"/>
                <w:sz w:val="28"/>
                <w:szCs w:val="28"/>
                <w:lang w:eastAsia="uk-UA"/>
              </w:rPr>
              <w:drawing>
                <wp:inline distT="0" distB="0" distL="0" distR="0" wp14:anchorId="3970C7B0" wp14:editId="36A984C7">
                  <wp:extent cx="2171812" cy="990651"/>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171812" cy="990651"/>
                          </a:xfrm>
                          <a:prstGeom prst="rect">
                            <a:avLst/>
                          </a:prstGeom>
                        </pic:spPr>
                      </pic:pic>
                    </a:graphicData>
                  </a:graphic>
                </wp:inline>
              </w:drawing>
            </w:r>
          </w:p>
        </w:tc>
      </w:tr>
    </w:tbl>
    <w:p w:rsidR="00E52234" w:rsidRPr="00E461A3" w:rsidRDefault="00E52234" w:rsidP="00E52234">
      <w:pPr>
        <w:shd w:val="clear" w:color="auto" w:fill="FFFFFF"/>
        <w:tabs>
          <w:tab w:val="left" w:pos="284"/>
        </w:tabs>
        <w:ind w:firstLine="539"/>
        <w:jc w:val="center"/>
        <w:rPr>
          <w:color w:val="1B1C1D"/>
          <w:sz w:val="16"/>
          <w:szCs w:val="16"/>
        </w:rPr>
      </w:pPr>
    </w:p>
    <w:p w:rsidR="00E52234" w:rsidRPr="00E461A3" w:rsidRDefault="00E52234" w:rsidP="00E52234">
      <w:pPr>
        <w:shd w:val="clear" w:color="auto" w:fill="FFFFFF"/>
        <w:tabs>
          <w:tab w:val="left" w:pos="284"/>
        </w:tabs>
        <w:ind w:firstLine="539"/>
        <w:jc w:val="center"/>
        <w:rPr>
          <w:i/>
          <w:sz w:val="24"/>
          <w:szCs w:val="24"/>
        </w:rPr>
      </w:pPr>
      <w:r w:rsidRPr="00E461A3">
        <w:rPr>
          <w:color w:val="1B1C1D"/>
          <w:sz w:val="28"/>
          <w:szCs w:val="28"/>
        </w:rPr>
        <w:t>В</w:t>
      </w:r>
      <w:r w:rsidRPr="00E461A3">
        <w:rPr>
          <w:i/>
          <w:sz w:val="24"/>
          <w:szCs w:val="24"/>
        </w:rPr>
        <w:t>ік та стать учасників та учасниць фокус-групових дискусій</w:t>
      </w:r>
    </w:p>
    <w:p w:rsidR="00E52234" w:rsidRPr="00E461A3" w:rsidRDefault="00E52234" w:rsidP="00E52234">
      <w:pPr>
        <w:shd w:val="clear" w:color="auto" w:fill="FFFFFF"/>
        <w:tabs>
          <w:tab w:val="left" w:pos="284"/>
        </w:tabs>
        <w:ind w:firstLine="539"/>
        <w:rPr>
          <w:color w:val="1B1C1D"/>
          <w:sz w:val="28"/>
          <w:szCs w:val="28"/>
        </w:rPr>
      </w:pPr>
    </w:p>
    <w:p w:rsidR="00E52234" w:rsidRPr="00E461A3" w:rsidRDefault="00E52234" w:rsidP="00E52234">
      <w:pPr>
        <w:shd w:val="clear" w:color="auto" w:fill="FFFFFF"/>
        <w:tabs>
          <w:tab w:val="left" w:pos="284"/>
        </w:tabs>
        <w:ind w:firstLine="539"/>
        <w:rPr>
          <w:color w:val="1B1C1D"/>
          <w:sz w:val="28"/>
          <w:szCs w:val="28"/>
        </w:rPr>
      </w:pPr>
      <w:r w:rsidRPr="00E461A3">
        <w:rPr>
          <w:color w:val="1B1C1D"/>
          <w:sz w:val="28"/>
          <w:szCs w:val="28"/>
        </w:rPr>
        <w:t xml:space="preserve">Серед учасників та учасниць фокус-групових дискусій були представлені молоді люди з числа </w:t>
      </w:r>
      <w:proofErr w:type="spellStart"/>
      <w:r w:rsidRPr="00E461A3">
        <w:rPr>
          <w:color w:val="1B1C1D"/>
          <w:sz w:val="28"/>
          <w:szCs w:val="28"/>
        </w:rPr>
        <w:t>внутрішньопереміщених</w:t>
      </w:r>
      <w:proofErr w:type="spellEnd"/>
      <w:r w:rsidRPr="00E461A3">
        <w:rPr>
          <w:color w:val="1B1C1D"/>
          <w:sz w:val="28"/>
          <w:szCs w:val="28"/>
        </w:rPr>
        <w:t xml:space="preserve"> осіб (7,0%); мешканці сіл/селищ  (10,5%); молодь у складних життєвих обставинах (6,1%); працевлаштована молодь – 36,8%</w:t>
      </w:r>
    </w:p>
    <w:p w:rsidR="00E52234" w:rsidRPr="00E461A3" w:rsidRDefault="00E52234" w:rsidP="00E52234">
      <w:pPr>
        <w:shd w:val="clear" w:color="auto" w:fill="FFFFFF"/>
        <w:tabs>
          <w:tab w:val="left" w:pos="284"/>
        </w:tabs>
        <w:ind w:firstLine="539"/>
        <w:rPr>
          <w:color w:val="1B1C1D"/>
          <w:sz w:val="28"/>
          <w:szCs w:val="28"/>
        </w:rPr>
      </w:pPr>
      <w:r w:rsidRPr="00E461A3">
        <w:rPr>
          <w:color w:val="1B1C1D"/>
          <w:sz w:val="28"/>
          <w:szCs w:val="28"/>
        </w:rPr>
        <w:t xml:space="preserve">У загальному висновку, </w:t>
      </w:r>
      <w:r w:rsidRPr="00E461A3">
        <w:rPr>
          <w:b/>
          <w:bCs/>
          <w:i/>
          <w:iCs/>
          <w:color w:val="1B1C1D"/>
          <w:sz w:val="28"/>
          <w:szCs w:val="28"/>
        </w:rPr>
        <w:t>аналіз виявив</w:t>
      </w:r>
      <w:r w:rsidRPr="00E461A3">
        <w:rPr>
          <w:color w:val="1B1C1D"/>
          <w:sz w:val="28"/>
          <w:szCs w:val="28"/>
        </w:rPr>
        <w:t xml:space="preserve"> системну кризу можливостей для молоді у громадах, що зумовлена переважно наслідками зовнішніх обставин. Ці обставини можуть згруповані у три ключових блоки:</w:t>
      </w:r>
    </w:p>
    <w:p w:rsidR="00E52234" w:rsidRPr="00E461A3" w:rsidRDefault="00E52234" w:rsidP="00E52234">
      <w:pPr>
        <w:shd w:val="clear" w:color="auto" w:fill="FFFFFF"/>
        <w:tabs>
          <w:tab w:val="left" w:pos="284"/>
        </w:tabs>
        <w:ind w:firstLine="539"/>
        <w:rPr>
          <w:color w:val="1B1C1D"/>
          <w:sz w:val="28"/>
          <w:szCs w:val="28"/>
        </w:rPr>
      </w:pPr>
      <w:r w:rsidRPr="00E461A3">
        <w:rPr>
          <w:noProof/>
          <w:color w:val="1B1C1D"/>
          <w:sz w:val="28"/>
          <w:szCs w:val="28"/>
          <w:lang w:eastAsia="uk-UA"/>
        </w:rPr>
        <w:lastRenderedPageBreak/>
        <w:drawing>
          <wp:inline distT="0" distB="0" distL="0" distR="0" wp14:anchorId="205797F8" wp14:editId="5B6DB81E">
            <wp:extent cx="5733415" cy="2727325"/>
            <wp:effectExtent l="0" t="0" r="63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3415" cy="2727325"/>
                    </a:xfrm>
                    <a:prstGeom prst="rect">
                      <a:avLst/>
                    </a:prstGeom>
                  </pic:spPr>
                </pic:pic>
              </a:graphicData>
            </a:graphic>
          </wp:inline>
        </w:drawing>
      </w:r>
    </w:p>
    <w:p w:rsidR="00E52234" w:rsidRPr="00E461A3" w:rsidRDefault="00E52234" w:rsidP="00E52234">
      <w:pPr>
        <w:shd w:val="clear" w:color="auto" w:fill="FFFFFF"/>
        <w:tabs>
          <w:tab w:val="left" w:pos="284"/>
        </w:tabs>
        <w:ind w:firstLine="539"/>
        <w:rPr>
          <w:color w:val="1B1C1D"/>
          <w:sz w:val="28"/>
          <w:szCs w:val="28"/>
        </w:rPr>
      </w:pPr>
      <w:r w:rsidRPr="00E461A3">
        <w:rPr>
          <w:color w:val="1B1C1D"/>
          <w:sz w:val="28"/>
          <w:szCs w:val="28"/>
        </w:rPr>
        <w:t>Ці три фактори призводять до відтоку найактивнішої молоді та до пасивності й деструктивних тенденцій у світобаченні тих, хто залишається. Таким чином, зони розвитку лежать переважно у площині створення сприятливого середовища, фінансування молодіжних ініціатив та налагодження реального діалогу між молоддю та владою.</w:t>
      </w:r>
    </w:p>
    <w:p w:rsidR="00E52234" w:rsidRPr="009666D9" w:rsidRDefault="00E52234" w:rsidP="00E52234">
      <w:pPr>
        <w:shd w:val="clear" w:color="auto" w:fill="FFFFFF"/>
        <w:tabs>
          <w:tab w:val="left" w:pos="284"/>
        </w:tabs>
        <w:ind w:firstLine="539"/>
        <w:rPr>
          <w:color w:val="1B1C1D"/>
          <w:sz w:val="28"/>
          <w:szCs w:val="28"/>
        </w:rPr>
      </w:pPr>
      <w:r w:rsidRPr="00E461A3">
        <w:rPr>
          <w:color w:val="1B1C1D"/>
          <w:sz w:val="28"/>
          <w:szCs w:val="28"/>
        </w:rPr>
        <w:t xml:space="preserve">Отже, за результатами дослідження бажане середовище для молоді – це громада/область, у якій є реальні можливості для професійної самореалізації, комфортне сучасне середовище для життя та дозвілля, а також яка чує, підтримує та залучає молодь до </w:t>
      </w:r>
      <w:r w:rsidRPr="009666D9">
        <w:rPr>
          <w:color w:val="1B1C1D"/>
          <w:sz w:val="28"/>
          <w:szCs w:val="28"/>
        </w:rPr>
        <w:t>процесів</w:t>
      </w:r>
      <w:r w:rsidR="003F6655" w:rsidRPr="009666D9">
        <w:rPr>
          <w:color w:val="1B1C1D"/>
          <w:sz w:val="28"/>
          <w:szCs w:val="28"/>
        </w:rPr>
        <w:t xml:space="preserve"> управління та</w:t>
      </w:r>
      <w:r w:rsidRPr="009666D9">
        <w:rPr>
          <w:color w:val="1B1C1D"/>
          <w:sz w:val="28"/>
          <w:szCs w:val="28"/>
        </w:rPr>
        <w:t xml:space="preserve"> розвитку. Відсутність цих ключових елементів, як показує аналіз, є головним фактором, що спонукає до міграції.</w:t>
      </w:r>
    </w:p>
    <w:p w:rsidR="00E52234" w:rsidRPr="009666D9" w:rsidRDefault="00E52234" w:rsidP="00E52234">
      <w:pPr>
        <w:shd w:val="clear" w:color="auto" w:fill="FFFFFF"/>
        <w:tabs>
          <w:tab w:val="left" w:pos="284"/>
        </w:tabs>
        <w:ind w:firstLine="539"/>
        <w:rPr>
          <w:color w:val="1B1C1D"/>
          <w:sz w:val="28"/>
          <w:szCs w:val="28"/>
        </w:rPr>
      </w:pPr>
    </w:p>
    <w:p w:rsidR="00E52234" w:rsidRPr="009666D9" w:rsidRDefault="00E52234" w:rsidP="00E52234">
      <w:pPr>
        <w:shd w:val="clear" w:color="auto" w:fill="FFFFFF"/>
        <w:tabs>
          <w:tab w:val="left" w:pos="284"/>
        </w:tabs>
        <w:jc w:val="center"/>
        <w:rPr>
          <w:b/>
          <w:bCs/>
          <w:color w:val="1B1C1D"/>
          <w:sz w:val="28"/>
          <w:szCs w:val="28"/>
        </w:rPr>
      </w:pPr>
      <w:r w:rsidRPr="009666D9">
        <w:rPr>
          <w:b/>
          <w:bCs/>
          <w:color w:val="1B1C1D"/>
          <w:sz w:val="28"/>
          <w:szCs w:val="28"/>
        </w:rPr>
        <w:t>Мета програми</w:t>
      </w:r>
    </w:p>
    <w:p w:rsidR="00E52234" w:rsidRPr="009666D9" w:rsidRDefault="00E52234" w:rsidP="00E52234">
      <w:pPr>
        <w:ind w:firstLine="539"/>
        <w:rPr>
          <w:sz w:val="28"/>
          <w:szCs w:val="28"/>
        </w:rPr>
      </w:pPr>
      <w:r w:rsidRPr="009666D9">
        <w:rPr>
          <w:sz w:val="28"/>
          <w:szCs w:val="28"/>
        </w:rPr>
        <w:t xml:space="preserve">Метою Програми є створення умов для </w:t>
      </w:r>
      <w:r w:rsidR="00603D54" w:rsidRPr="009666D9">
        <w:rPr>
          <w:sz w:val="28"/>
          <w:szCs w:val="28"/>
        </w:rPr>
        <w:t xml:space="preserve">розвитку життєстійкості та можливостей для самореалізації молоді, розширення участі молоді у суспільному житті та </w:t>
      </w:r>
      <w:r w:rsidR="00195E75" w:rsidRPr="009666D9">
        <w:rPr>
          <w:sz w:val="28"/>
          <w:szCs w:val="28"/>
        </w:rPr>
        <w:t>прийнятт</w:t>
      </w:r>
      <w:r w:rsidR="00603D54" w:rsidRPr="009666D9">
        <w:rPr>
          <w:sz w:val="28"/>
          <w:szCs w:val="28"/>
        </w:rPr>
        <w:t>і</w:t>
      </w:r>
      <w:r w:rsidR="00195E75" w:rsidRPr="009666D9">
        <w:rPr>
          <w:sz w:val="28"/>
          <w:szCs w:val="28"/>
        </w:rPr>
        <w:t xml:space="preserve"> рішень </w:t>
      </w:r>
      <w:r w:rsidRPr="009666D9">
        <w:rPr>
          <w:sz w:val="28"/>
          <w:szCs w:val="28"/>
        </w:rPr>
        <w:t>у процесах  розвитку громади.</w:t>
      </w:r>
    </w:p>
    <w:p w:rsidR="00E52234" w:rsidRPr="00E461A3" w:rsidRDefault="00E52234" w:rsidP="00E52234">
      <w:pPr>
        <w:ind w:firstLine="539"/>
        <w:rPr>
          <w:sz w:val="28"/>
          <w:szCs w:val="28"/>
        </w:rPr>
      </w:pPr>
    </w:p>
    <w:p w:rsidR="00E52234" w:rsidRPr="00E461A3" w:rsidRDefault="00E52234" w:rsidP="00E52234">
      <w:pPr>
        <w:jc w:val="center"/>
        <w:rPr>
          <w:b/>
          <w:bCs/>
          <w:sz w:val="28"/>
          <w:szCs w:val="28"/>
        </w:rPr>
      </w:pPr>
      <w:r w:rsidRPr="00E461A3">
        <w:rPr>
          <w:b/>
          <w:bCs/>
          <w:sz w:val="28"/>
          <w:szCs w:val="28"/>
        </w:rPr>
        <w:t xml:space="preserve">Обґрунтування шляхів та способів реалізації Програми. </w:t>
      </w:r>
    </w:p>
    <w:p w:rsidR="00E52234" w:rsidRPr="00E461A3" w:rsidRDefault="00E52234" w:rsidP="00E52234">
      <w:pPr>
        <w:jc w:val="center"/>
        <w:rPr>
          <w:b/>
          <w:bCs/>
          <w:sz w:val="28"/>
          <w:szCs w:val="28"/>
        </w:rPr>
      </w:pPr>
      <w:r w:rsidRPr="00E461A3">
        <w:rPr>
          <w:b/>
          <w:bCs/>
          <w:sz w:val="28"/>
          <w:szCs w:val="28"/>
        </w:rPr>
        <w:t>Визначення напрямів (пріоритетів) діяльності та завдань Програми</w:t>
      </w:r>
    </w:p>
    <w:p w:rsidR="00E52234" w:rsidRPr="00E461A3" w:rsidRDefault="00E52234" w:rsidP="00E52234">
      <w:pPr>
        <w:ind w:firstLine="539"/>
        <w:rPr>
          <w:sz w:val="28"/>
          <w:szCs w:val="28"/>
        </w:rPr>
      </w:pPr>
      <w:r w:rsidRPr="00E461A3">
        <w:rPr>
          <w:sz w:val="28"/>
          <w:szCs w:val="28"/>
        </w:rPr>
        <w:t>Програма передбачає впровадження заходів, спрямованих на дося</w:t>
      </w:r>
      <w:r w:rsidR="00A124C3">
        <w:rPr>
          <w:sz w:val="28"/>
          <w:szCs w:val="28"/>
        </w:rPr>
        <w:t xml:space="preserve">гнення мети за </w:t>
      </w:r>
      <w:r w:rsidR="00A124C3" w:rsidRPr="009666D9">
        <w:rPr>
          <w:sz w:val="28"/>
          <w:szCs w:val="28"/>
        </w:rPr>
        <w:t>ключовими напрям</w:t>
      </w:r>
      <w:r w:rsidRPr="009666D9">
        <w:rPr>
          <w:sz w:val="28"/>
          <w:szCs w:val="28"/>
        </w:rPr>
        <w:t>ами діяльності</w:t>
      </w:r>
      <w:r w:rsidRPr="00E461A3">
        <w:rPr>
          <w:sz w:val="28"/>
          <w:szCs w:val="28"/>
        </w:rPr>
        <w:t>, що сформовані на основі аналізу проблем.</w:t>
      </w:r>
    </w:p>
    <w:p w:rsidR="00E52234" w:rsidRPr="00E461A3" w:rsidRDefault="00E52234" w:rsidP="00E52234">
      <w:pPr>
        <w:ind w:firstLine="539"/>
        <w:rPr>
          <w:sz w:val="28"/>
          <w:szCs w:val="28"/>
        </w:rPr>
      </w:pPr>
      <w:r w:rsidRPr="00E461A3">
        <w:rPr>
          <w:sz w:val="28"/>
          <w:szCs w:val="28"/>
        </w:rPr>
        <w:t>За результатами дослідження, молодь ідентифікує такі ключові блоки проблем:</w:t>
      </w:r>
    </w:p>
    <w:p w:rsidR="00E52234" w:rsidRPr="00FB23F6" w:rsidRDefault="00E52234" w:rsidP="00FB23F6">
      <w:pPr>
        <w:pStyle w:val="a9"/>
        <w:numPr>
          <w:ilvl w:val="0"/>
          <w:numId w:val="4"/>
        </w:numPr>
        <w:ind w:left="0" w:firstLine="567"/>
        <w:jc w:val="both"/>
        <w:rPr>
          <w:rFonts w:ascii="Times New Roman" w:hAnsi="Times New Roman" w:cs="Times New Roman"/>
          <w:sz w:val="28"/>
          <w:szCs w:val="28"/>
        </w:rPr>
      </w:pPr>
      <w:r w:rsidRPr="00FB23F6">
        <w:rPr>
          <w:rFonts w:ascii="Times New Roman" w:hAnsi="Times New Roman" w:cs="Times New Roman"/>
          <w:b/>
          <w:bCs/>
          <w:sz w:val="28"/>
          <w:szCs w:val="28"/>
        </w:rPr>
        <w:t>Участь молоді.</w:t>
      </w:r>
      <w:r w:rsidRPr="00FB23F6">
        <w:rPr>
          <w:rFonts w:ascii="Times New Roman" w:hAnsi="Times New Roman" w:cs="Times New Roman"/>
          <w:sz w:val="28"/>
          <w:szCs w:val="28"/>
        </w:rPr>
        <w:t xml:space="preserve"> Існує фундаментальний розрив між активним ядром молоді та широким колом молоді, яка залишається необізнаною та пасивною. Обізнаність про обласні програми вкрай низька, а комунікація працює у «бульбашці активістів». Молодь відчуває себе непочутою та потребує реальних механізмів впливу.</w:t>
      </w:r>
    </w:p>
    <w:p w:rsidR="00E52234" w:rsidRDefault="00E52234" w:rsidP="00E52234">
      <w:pPr>
        <w:ind w:firstLine="567"/>
        <w:rPr>
          <w:sz w:val="28"/>
          <w:szCs w:val="28"/>
        </w:rPr>
      </w:pPr>
      <w:r w:rsidRPr="00E461A3">
        <w:rPr>
          <w:b/>
          <w:bCs/>
          <w:sz w:val="28"/>
          <w:szCs w:val="28"/>
        </w:rPr>
        <w:t>Ментальне здоров’я, психоемоційні виклики та безпека</w:t>
      </w:r>
      <w:r w:rsidRPr="00E461A3">
        <w:rPr>
          <w:sz w:val="28"/>
          <w:szCs w:val="28"/>
        </w:rPr>
        <w:t xml:space="preserve">. Молодь акцентує загострення викликів, що пов’язані з ментальним здоров’ям. Окрім систематичного травматичного досвіду, що пов'язаний з війною, молоді люди </w:t>
      </w:r>
      <w:r w:rsidRPr="00E461A3">
        <w:rPr>
          <w:sz w:val="28"/>
          <w:szCs w:val="28"/>
        </w:rPr>
        <w:lastRenderedPageBreak/>
        <w:t xml:space="preserve">стикаються з низкою нових факторів та явищ - </w:t>
      </w:r>
      <w:proofErr w:type="spellStart"/>
      <w:r w:rsidRPr="00E461A3">
        <w:rPr>
          <w:sz w:val="28"/>
          <w:szCs w:val="28"/>
        </w:rPr>
        <w:t>булінг</w:t>
      </w:r>
      <w:proofErr w:type="spellEnd"/>
      <w:r w:rsidRPr="00E461A3">
        <w:rPr>
          <w:sz w:val="28"/>
          <w:szCs w:val="28"/>
        </w:rPr>
        <w:t>, мобілізація, зміна звичного середовища в результаті міграційних процесів та зміни структури соціальних груп, втрата відчуття фізичної безпеки, тощо. Попри доступність психологічних послуг, молодь не завжди має змогу отримати вчасну та якісну підтримку, зокрема через  недовіру до шкільних психологів та стигматизацію допомоги.</w:t>
      </w:r>
    </w:p>
    <w:p w:rsidR="00262015" w:rsidRDefault="00262015" w:rsidP="00262015">
      <w:pPr>
        <w:ind w:firstLine="539"/>
        <w:rPr>
          <w:sz w:val="28"/>
          <w:szCs w:val="28"/>
        </w:rPr>
      </w:pPr>
      <w:r w:rsidRPr="00113DF8">
        <w:rPr>
          <w:sz w:val="28"/>
          <w:szCs w:val="28"/>
        </w:rPr>
        <w:t xml:space="preserve">Аналіз витрат і </w:t>
      </w:r>
      <w:proofErr w:type="spellStart"/>
      <w:r w:rsidRPr="00113DF8">
        <w:rPr>
          <w:sz w:val="28"/>
          <w:szCs w:val="28"/>
        </w:rPr>
        <w:t>вигод</w:t>
      </w:r>
      <w:proofErr w:type="spellEnd"/>
      <w:r w:rsidRPr="00113DF8">
        <w:rPr>
          <w:sz w:val="28"/>
          <w:szCs w:val="28"/>
        </w:rPr>
        <w:t xml:space="preserve"> у сфері психічного здоров'я та психосоціальної підтримки й економічного відновлення в Україні проведений організацією «</w:t>
      </w:r>
      <w:proofErr w:type="spellStart"/>
      <w:r w:rsidRPr="00113DF8">
        <w:rPr>
          <w:sz w:val="28"/>
          <w:szCs w:val="28"/>
          <w:lang w:val="en-US"/>
        </w:rPr>
        <w:t>PeopleInNeed</w:t>
      </w:r>
      <w:proofErr w:type="spellEnd"/>
      <w:r w:rsidRPr="00113DF8">
        <w:rPr>
          <w:sz w:val="28"/>
          <w:szCs w:val="28"/>
        </w:rPr>
        <w:t>»</w:t>
      </w:r>
      <w:r>
        <w:rPr>
          <w:rStyle w:val="ad"/>
          <w:color w:val="0563C1" w:themeColor="hyperlink"/>
          <w:sz w:val="28"/>
          <w:szCs w:val="28"/>
          <w:u w:val="single"/>
        </w:rPr>
        <w:footnoteReference w:id="5"/>
      </w:r>
      <w:r w:rsidRPr="0099750D">
        <w:rPr>
          <w:sz w:val="28"/>
          <w:szCs w:val="28"/>
        </w:rPr>
        <w:t>, показа</w:t>
      </w:r>
      <w:r>
        <w:rPr>
          <w:sz w:val="28"/>
          <w:szCs w:val="28"/>
        </w:rPr>
        <w:t>в</w:t>
      </w:r>
      <w:r w:rsidRPr="0099750D">
        <w:rPr>
          <w:sz w:val="28"/>
          <w:szCs w:val="28"/>
        </w:rPr>
        <w:t xml:space="preserve">, що понад 70% людей відчувають стрес або дуже високий стрес у зв'язку з війною та постійними стресовими факторами й невизначеністю в країні. </w:t>
      </w:r>
      <w:r>
        <w:rPr>
          <w:sz w:val="28"/>
          <w:szCs w:val="28"/>
        </w:rPr>
        <w:t xml:space="preserve">В першу чергу це стосується окремих верств населення, що є найбільш вразливими </w:t>
      </w:r>
      <w:r w:rsidRPr="0099750D">
        <w:rPr>
          <w:sz w:val="28"/>
          <w:szCs w:val="28"/>
        </w:rPr>
        <w:t xml:space="preserve">до проблем психічного здоров'я, такі як молодь, чиє життя та майбутнє особливо невизначені через війну та втрату близьких, історично </w:t>
      </w:r>
      <w:proofErr w:type="spellStart"/>
      <w:r w:rsidRPr="0099750D">
        <w:rPr>
          <w:sz w:val="28"/>
          <w:szCs w:val="28"/>
        </w:rPr>
        <w:t>маргіналізовані</w:t>
      </w:r>
      <w:proofErr w:type="spellEnd"/>
      <w:r w:rsidRPr="0099750D">
        <w:rPr>
          <w:sz w:val="28"/>
          <w:szCs w:val="28"/>
        </w:rPr>
        <w:t xml:space="preserve"> групи, такі як ветерани, внутрішньо переміщені особи та інші групи населення, які стикаються з високим рівнем стресу, що значно посилився наслідками війни.</w:t>
      </w:r>
    </w:p>
    <w:p w:rsidR="00262015" w:rsidRDefault="00262015" w:rsidP="00262015">
      <w:pPr>
        <w:ind w:firstLine="539"/>
        <w:rPr>
          <w:sz w:val="28"/>
          <w:szCs w:val="28"/>
        </w:rPr>
      </w:pPr>
      <w:r>
        <w:rPr>
          <w:sz w:val="28"/>
          <w:szCs w:val="28"/>
        </w:rPr>
        <w:t xml:space="preserve">Це ж дослідження акцентує важливість інвестицій у сферу психосоціальної підтримки, стверджуючи, що </w:t>
      </w:r>
      <w:r w:rsidRPr="00113DF8">
        <w:rPr>
          <w:sz w:val="28"/>
          <w:szCs w:val="28"/>
        </w:rPr>
        <w:t xml:space="preserve">на кожен долар, інвестований у послуги психосоціальної підтримки </w:t>
      </w:r>
      <w:r>
        <w:rPr>
          <w:sz w:val="28"/>
          <w:szCs w:val="28"/>
        </w:rPr>
        <w:t xml:space="preserve">на рівні </w:t>
      </w:r>
      <w:r w:rsidRPr="00113DF8">
        <w:rPr>
          <w:sz w:val="28"/>
          <w:szCs w:val="28"/>
        </w:rPr>
        <w:t xml:space="preserve">громади, ВВП </w:t>
      </w:r>
      <w:r>
        <w:rPr>
          <w:sz w:val="28"/>
          <w:szCs w:val="28"/>
        </w:rPr>
        <w:t>У</w:t>
      </w:r>
      <w:r w:rsidRPr="00113DF8">
        <w:rPr>
          <w:sz w:val="28"/>
          <w:szCs w:val="28"/>
        </w:rPr>
        <w:t>країни зростає на 15-20 доларів</w:t>
      </w:r>
      <w:r>
        <w:rPr>
          <w:sz w:val="28"/>
          <w:szCs w:val="28"/>
        </w:rPr>
        <w:t xml:space="preserve">. </w:t>
      </w:r>
    </w:p>
    <w:p w:rsidR="00262015" w:rsidRPr="00E461A3" w:rsidRDefault="00262015" w:rsidP="00E52234">
      <w:pPr>
        <w:ind w:firstLine="567"/>
        <w:rPr>
          <w:sz w:val="28"/>
          <w:szCs w:val="28"/>
        </w:rPr>
      </w:pPr>
    </w:p>
    <w:p w:rsidR="00E52234" w:rsidRPr="00FB23F6" w:rsidRDefault="00E52234" w:rsidP="00FB23F6">
      <w:pPr>
        <w:pStyle w:val="a9"/>
        <w:numPr>
          <w:ilvl w:val="0"/>
          <w:numId w:val="4"/>
        </w:numPr>
        <w:ind w:left="0" w:firstLine="567"/>
        <w:jc w:val="both"/>
        <w:rPr>
          <w:rFonts w:ascii="Times New Roman" w:hAnsi="Times New Roman" w:cs="Times New Roman"/>
          <w:sz w:val="28"/>
          <w:szCs w:val="28"/>
        </w:rPr>
      </w:pPr>
      <w:r w:rsidRPr="00FB23F6">
        <w:rPr>
          <w:rFonts w:ascii="Times New Roman" w:hAnsi="Times New Roman" w:cs="Times New Roman"/>
          <w:b/>
          <w:bCs/>
          <w:sz w:val="28"/>
          <w:szCs w:val="28"/>
        </w:rPr>
        <w:t>Економічні виклики.</w:t>
      </w:r>
      <w:r w:rsidRPr="00FB23F6">
        <w:rPr>
          <w:rFonts w:ascii="Times New Roman" w:hAnsi="Times New Roman" w:cs="Times New Roman"/>
          <w:sz w:val="28"/>
          <w:szCs w:val="28"/>
        </w:rPr>
        <w:t xml:space="preserve"> Молодь стикається з відсутністю робочих місць за фахом, низькими зарплатами, браком кар'єрних перспектив та житловими проблемами. Освіта сприймається як відірвана від ринку праці. Існують бар'єри для підприємництва, не має чіткого розуміння алгоритму реалізації власних ініціатив.</w:t>
      </w:r>
    </w:p>
    <w:p w:rsidR="00E52234" w:rsidRPr="00FB23F6" w:rsidRDefault="00E52234" w:rsidP="00FB23F6">
      <w:pPr>
        <w:pStyle w:val="a9"/>
        <w:numPr>
          <w:ilvl w:val="0"/>
          <w:numId w:val="4"/>
        </w:numPr>
        <w:ind w:left="0" w:firstLine="567"/>
        <w:jc w:val="both"/>
        <w:rPr>
          <w:rFonts w:ascii="Times New Roman" w:hAnsi="Times New Roman" w:cs="Times New Roman"/>
          <w:sz w:val="28"/>
          <w:szCs w:val="28"/>
        </w:rPr>
      </w:pPr>
      <w:r w:rsidRPr="00FB23F6">
        <w:rPr>
          <w:rFonts w:ascii="Times New Roman" w:hAnsi="Times New Roman" w:cs="Times New Roman"/>
          <w:b/>
          <w:bCs/>
          <w:sz w:val="28"/>
          <w:szCs w:val="28"/>
        </w:rPr>
        <w:t>Інфраструктурні виклики.</w:t>
      </w:r>
      <w:r w:rsidRPr="00FB23F6">
        <w:rPr>
          <w:rFonts w:ascii="Times New Roman" w:hAnsi="Times New Roman" w:cs="Times New Roman"/>
          <w:sz w:val="28"/>
          <w:szCs w:val="28"/>
        </w:rPr>
        <w:t xml:space="preserve"> Молоді бракує фізичних місць для дозвілля, розвитку та спілкування. Гостро стоїть проблема базового комфорту: стан доріг, транспорту, парків, освітлення. Відсутність </w:t>
      </w:r>
      <w:proofErr w:type="spellStart"/>
      <w:r w:rsidRPr="00FB23F6">
        <w:rPr>
          <w:rFonts w:ascii="Times New Roman" w:hAnsi="Times New Roman" w:cs="Times New Roman"/>
          <w:sz w:val="28"/>
          <w:szCs w:val="28"/>
        </w:rPr>
        <w:t>безбар'єрності</w:t>
      </w:r>
      <w:proofErr w:type="spellEnd"/>
      <w:r w:rsidRPr="00FB23F6">
        <w:rPr>
          <w:rFonts w:ascii="Times New Roman" w:hAnsi="Times New Roman" w:cs="Times New Roman"/>
          <w:sz w:val="28"/>
          <w:szCs w:val="28"/>
        </w:rPr>
        <w:t xml:space="preserve"> є системною.</w:t>
      </w:r>
    </w:p>
    <w:p w:rsidR="00E52234" w:rsidRPr="00E461A3" w:rsidRDefault="00E52234" w:rsidP="00E52234">
      <w:pPr>
        <w:ind w:firstLine="567"/>
        <w:rPr>
          <w:sz w:val="28"/>
          <w:szCs w:val="28"/>
        </w:rPr>
      </w:pPr>
      <w:r w:rsidRPr="00E461A3">
        <w:rPr>
          <w:sz w:val="28"/>
          <w:szCs w:val="28"/>
        </w:rPr>
        <w:t xml:space="preserve">Окрім даних комплексного дослідження, проведеного в рамках підготовки Програми, проблематику  акцентовану молоддю Львівщини підтверджують і дані національних досліджень. </w:t>
      </w:r>
    </w:p>
    <w:p w:rsidR="00E52234" w:rsidRPr="00E461A3" w:rsidRDefault="00E52234" w:rsidP="00E52234">
      <w:pPr>
        <w:ind w:firstLine="567"/>
        <w:rPr>
          <w:sz w:val="28"/>
          <w:szCs w:val="28"/>
        </w:rPr>
      </w:pPr>
      <w:r w:rsidRPr="00E461A3">
        <w:rPr>
          <w:sz w:val="28"/>
          <w:szCs w:val="28"/>
        </w:rPr>
        <w:t>Так, відповідно до дослідження «Індекс майбутнього: професійні очікування та розвиток підлітків в Україні»</w:t>
      </w:r>
      <w:r w:rsidRPr="00E461A3">
        <w:rPr>
          <w:rStyle w:val="ad"/>
          <w:sz w:val="28"/>
          <w:szCs w:val="28"/>
        </w:rPr>
        <w:footnoteReference w:id="6"/>
      </w:r>
      <w:r w:rsidRPr="00E461A3">
        <w:rPr>
          <w:sz w:val="28"/>
          <w:szCs w:val="28"/>
        </w:rPr>
        <w:t xml:space="preserve">, ініційованого Фундацією Олени </w:t>
      </w:r>
      <w:proofErr w:type="spellStart"/>
      <w:r w:rsidRPr="00E461A3">
        <w:rPr>
          <w:sz w:val="28"/>
          <w:szCs w:val="28"/>
        </w:rPr>
        <w:t>Зеленської</w:t>
      </w:r>
      <w:proofErr w:type="spellEnd"/>
      <w:r w:rsidRPr="00E461A3">
        <w:rPr>
          <w:sz w:val="28"/>
          <w:szCs w:val="28"/>
        </w:rPr>
        <w:t xml:space="preserve">, кожна </w:t>
      </w:r>
      <w:r w:rsidRPr="009666D9">
        <w:rPr>
          <w:sz w:val="28"/>
          <w:szCs w:val="28"/>
        </w:rPr>
        <w:t xml:space="preserve">4 </w:t>
      </w:r>
      <w:r w:rsidR="00FB23F6" w:rsidRPr="009666D9">
        <w:rPr>
          <w:sz w:val="28"/>
          <w:szCs w:val="28"/>
        </w:rPr>
        <w:t>молода людина</w:t>
      </w:r>
      <w:r w:rsidRPr="009666D9">
        <w:rPr>
          <w:sz w:val="28"/>
          <w:szCs w:val="28"/>
        </w:rPr>
        <w:t xml:space="preserve"> розглядає</w:t>
      </w:r>
      <w:r w:rsidRPr="00E461A3">
        <w:rPr>
          <w:sz w:val="28"/>
          <w:szCs w:val="28"/>
        </w:rPr>
        <w:t xml:space="preserve"> міграцію за кордон. Визнач</w:t>
      </w:r>
      <w:r w:rsidR="00262015">
        <w:rPr>
          <w:sz w:val="28"/>
          <w:szCs w:val="28"/>
        </w:rPr>
        <w:t>альними факторами у виборі молоді</w:t>
      </w:r>
      <w:r w:rsidRPr="00E461A3">
        <w:rPr>
          <w:sz w:val="28"/>
          <w:szCs w:val="28"/>
        </w:rPr>
        <w:t xml:space="preserve"> є розвиток і можливості, а не безпекові міркування (</w:t>
      </w:r>
      <w:r w:rsidRPr="00E461A3">
        <w:rPr>
          <w:i/>
          <w:iCs/>
          <w:sz w:val="28"/>
          <w:szCs w:val="28"/>
        </w:rPr>
        <w:t>економічні виклики</w:t>
      </w:r>
      <w:r w:rsidRPr="00E461A3">
        <w:rPr>
          <w:sz w:val="28"/>
          <w:szCs w:val="28"/>
        </w:rPr>
        <w:t xml:space="preserve">). </w:t>
      </w:r>
    </w:p>
    <w:p w:rsidR="00E52234" w:rsidRPr="00E461A3" w:rsidRDefault="00E52234" w:rsidP="00E52234">
      <w:pPr>
        <w:ind w:firstLine="567"/>
        <w:rPr>
          <w:sz w:val="28"/>
          <w:szCs w:val="28"/>
        </w:rPr>
      </w:pPr>
      <w:r w:rsidRPr="00E461A3">
        <w:rPr>
          <w:sz w:val="28"/>
          <w:szCs w:val="28"/>
        </w:rPr>
        <w:t xml:space="preserve">Це ж дослідження акцентує наявність </w:t>
      </w:r>
      <w:r w:rsidRPr="00E461A3">
        <w:rPr>
          <w:i/>
          <w:iCs/>
          <w:sz w:val="28"/>
          <w:szCs w:val="28"/>
        </w:rPr>
        <w:t>інфраструктурних викликів</w:t>
      </w:r>
      <w:r w:rsidRPr="00E461A3">
        <w:rPr>
          <w:sz w:val="28"/>
          <w:szCs w:val="28"/>
        </w:rPr>
        <w:t xml:space="preserve"> показуючи, що  серед основних причин відсутності позашкільних </w:t>
      </w:r>
      <w:proofErr w:type="spellStart"/>
      <w:r w:rsidRPr="00E461A3">
        <w:rPr>
          <w:sz w:val="28"/>
          <w:szCs w:val="28"/>
        </w:rPr>
        <w:t>активностей</w:t>
      </w:r>
      <w:proofErr w:type="spellEnd"/>
      <w:r w:rsidRPr="00E461A3">
        <w:rPr>
          <w:sz w:val="28"/>
          <w:szCs w:val="28"/>
        </w:rPr>
        <w:t xml:space="preserve"> є </w:t>
      </w:r>
      <w:r w:rsidRPr="00E461A3">
        <w:rPr>
          <w:sz w:val="28"/>
          <w:szCs w:val="28"/>
        </w:rPr>
        <w:lastRenderedPageBreak/>
        <w:t xml:space="preserve">фізична відсутність гуртків (33%)  та брак транспортної інфраструктури (12%). Для респондентів з сіл відсоток вибору цих факторів становив 62%. </w:t>
      </w:r>
    </w:p>
    <w:p w:rsidR="00E52234" w:rsidRPr="00E461A3" w:rsidRDefault="00E52234" w:rsidP="00E52234">
      <w:pPr>
        <w:ind w:firstLine="567"/>
        <w:rPr>
          <w:sz w:val="28"/>
          <w:szCs w:val="28"/>
        </w:rPr>
      </w:pPr>
      <w:r w:rsidRPr="00E461A3">
        <w:rPr>
          <w:sz w:val="28"/>
          <w:szCs w:val="28"/>
        </w:rPr>
        <w:t>За результатами Національного опитування молоді 2024</w:t>
      </w:r>
      <w:r w:rsidRPr="00E461A3">
        <w:rPr>
          <w:rStyle w:val="ad"/>
          <w:sz w:val="28"/>
          <w:szCs w:val="28"/>
        </w:rPr>
        <w:footnoteReference w:id="7"/>
      </w:r>
      <w:r w:rsidRPr="00E461A3">
        <w:rPr>
          <w:sz w:val="28"/>
          <w:szCs w:val="28"/>
        </w:rPr>
        <w:t xml:space="preserve"> понад 70% молоді задумується над відкриттям власної справи, але не роблять цього через брак стартового капіталу (39%), нестабільну ситуацію в країні (24%), брак знань та навичок (11%).</w:t>
      </w:r>
    </w:p>
    <w:p w:rsidR="00E52234" w:rsidRDefault="00E52234" w:rsidP="00262015">
      <w:pPr>
        <w:ind w:firstLine="567"/>
        <w:rPr>
          <w:sz w:val="28"/>
          <w:szCs w:val="28"/>
        </w:rPr>
      </w:pPr>
      <w:r w:rsidRPr="00E461A3">
        <w:rPr>
          <w:sz w:val="28"/>
          <w:szCs w:val="28"/>
        </w:rPr>
        <w:t>Це ж опитування підтверджує про</w:t>
      </w:r>
      <w:r w:rsidR="00DB00C0" w:rsidRPr="00E461A3">
        <w:rPr>
          <w:sz w:val="28"/>
          <w:szCs w:val="28"/>
        </w:rPr>
        <w:t>блематику низької участі молоді</w:t>
      </w:r>
      <w:r w:rsidRPr="00E461A3">
        <w:rPr>
          <w:sz w:val="28"/>
          <w:szCs w:val="28"/>
        </w:rPr>
        <w:t xml:space="preserve"> в процесах прийняття рішень. Так, молодь є активною у шкільному врядуванні, долучається до волонтерських ініціатив, але не часто стає членами молодіжних рад (7%), бере участь у формуванні громадських бюджетів (10%) чи засіданнях громадських рад при органах місцевого самоврядування (15%).</w:t>
      </w:r>
    </w:p>
    <w:p w:rsidR="00E52234" w:rsidRDefault="00E52234" w:rsidP="00E52234">
      <w:pPr>
        <w:ind w:firstLine="539"/>
        <w:rPr>
          <w:sz w:val="28"/>
          <w:szCs w:val="28"/>
        </w:rPr>
      </w:pPr>
      <w:r>
        <w:rPr>
          <w:sz w:val="28"/>
          <w:szCs w:val="28"/>
        </w:rPr>
        <w:t xml:space="preserve">Тож, для ефективного реагування на регіональну проблематику окреслену молоддю Львівщини підтверджену національними тенденціями, </w:t>
      </w:r>
      <w:r w:rsidRPr="00675461">
        <w:rPr>
          <w:b/>
          <w:bCs/>
          <w:i/>
          <w:iCs/>
          <w:sz w:val="28"/>
          <w:szCs w:val="28"/>
        </w:rPr>
        <w:t>Прог</w:t>
      </w:r>
      <w:r w:rsidR="00262015">
        <w:rPr>
          <w:b/>
          <w:bCs/>
          <w:i/>
          <w:iCs/>
          <w:sz w:val="28"/>
          <w:szCs w:val="28"/>
        </w:rPr>
        <w:t xml:space="preserve">рама фокусуватиметься на </w:t>
      </w:r>
      <w:r w:rsidR="00262015" w:rsidRPr="009666D9">
        <w:rPr>
          <w:b/>
          <w:bCs/>
          <w:i/>
          <w:iCs/>
          <w:sz w:val="28"/>
          <w:szCs w:val="28"/>
        </w:rPr>
        <w:t>п’яти пріоритетних завданнях</w:t>
      </w:r>
      <w:r w:rsidRPr="009666D9">
        <w:rPr>
          <w:sz w:val="28"/>
          <w:szCs w:val="28"/>
        </w:rPr>
        <w:t>:</w:t>
      </w:r>
    </w:p>
    <w:p w:rsidR="00262015" w:rsidRPr="00262015" w:rsidRDefault="00262015" w:rsidP="00E52234">
      <w:pPr>
        <w:ind w:firstLine="539"/>
        <w:rPr>
          <w:b/>
          <w:sz w:val="28"/>
          <w:szCs w:val="28"/>
        </w:rPr>
      </w:pPr>
      <w:r w:rsidRPr="00262015">
        <w:rPr>
          <w:b/>
          <w:sz w:val="28"/>
          <w:szCs w:val="28"/>
        </w:rPr>
        <w:t xml:space="preserve">Завдання 1. </w:t>
      </w:r>
      <w:r>
        <w:rPr>
          <w:b/>
          <w:sz w:val="28"/>
          <w:szCs w:val="28"/>
        </w:rPr>
        <w:t>Розширення участі молоді у суспільному житті та зміцнення соціальної згуртованості.</w:t>
      </w:r>
    </w:p>
    <w:p w:rsidR="00262015" w:rsidRPr="00262015" w:rsidRDefault="00262015" w:rsidP="00E52234">
      <w:pPr>
        <w:ind w:firstLine="539"/>
        <w:rPr>
          <w:i/>
          <w:sz w:val="28"/>
          <w:szCs w:val="28"/>
        </w:rPr>
      </w:pPr>
      <w:r w:rsidRPr="00262015">
        <w:rPr>
          <w:i/>
          <w:sz w:val="28"/>
          <w:szCs w:val="28"/>
        </w:rPr>
        <w:t>Захід 1.</w:t>
      </w:r>
      <w:r>
        <w:rPr>
          <w:i/>
          <w:sz w:val="28"/>
          <w:szCs w:val="28"/>
        </w:rPr>
        <w:t xml:space="preserve"> Проведення заходів із впровадження реальних механізмів та інструментів участі молоді в житті громади.</w:t>
      </w:r>
    </w:p>
    <w:p w:rsidR="00262015" w:rsidRDefault="00262015" w:rsidP="00E52234">
      <w:pPr>
        <w:ind w:firstLine="539"/>
        <w:rPr>
          <w:i/>
          <w:sz w:val="28"/>
          <w:szCs w:val="28"/>
        </w:rPr>
      </w:pPr>
      <w:r w:rsidRPr="00262015">
        <w:rPr>
          <w:i/>
          <w:sz w:val="28"/>
          <w:szCs w:val="28"/>
        </w:rPr>
        <w:t>Захід 2.</w:t>
      </w:r>
      <w:r w:rsidR="007C3433">
        <w:rPr>
          <w:i/>
          <w:sz w:val="28"/>
          <w:szCs w:val="28"/>
        </w:rPr>
        <w:t xml:space="preserve"> Проведення заходів із створення умов для </w:t>
      </w:r>
      <w:proofErr w:type="spellStart"/>
      <w:r w:rsidR="007C3433">
        <w:rPr>
          <w:i/>
          <w:sz w:val="28"/>
          <w:szCs w:val="28"/>
        </w:rPr>
        <w:t>безба</w:t>
      </w:r>
      <w:proofErr w:type="spellEnd"/>
      <w:r w:rsidR="009F0D65">
        <w:rPr>
          <w:sz w:val="28"/>
          <w:szCs w:val="28"/>
          <w:lang w:val="en-US"/>
        </w:rPr>
        <w:t>’</w:t>
      </w:r>
      <w:proofErr w:type="spellStart"/>
      <w:r w:rsidR="007C3433">
        <w:rPr>
          <w:i/>
          <w:sz w:val="28"/>
          <w:szCs w:val="28"/>
        </w:rPr>
        <w:t>рєрної</w:t>
      </w:r>
      <w:proofErr w:type="spellEnd"/>
      <w:r w:rsidR="007C3433">
        <w:rPr>
          <w:i/>
          <w:sz w:val="28"/>
          <w:szCs w:val="28"/>
        </w:rPr>
        <w:t xml:space="preserve"> комунікації та налагодження зв</w:t>
      </w:r>
      <w:r w:rsidR="007C3433">
        <w:rPr>
          <w:i/>
          <w:sz w:val="28"/>
          <w:szCs w:val="28"/>
          <w:lang w:val="en-US"/>
        </w:rPr>
        <w:t>’</w:t>
      </w:r>
      <w:proofErr w:type="spellStart"/>
      <w:r w:rsidR="007C3433">
        <w:rPr>
          <w:i/>
          <w:sz w:val="28"/>
          <w:szCs w:val="28"/>
        </w:rPr>
        <w:t>язків</w:t>
      </w:r>
      <w:proofErr w:type="spellEnd"/>
      <w:r w:rsidR="007C3433">
        <w:rPr>
          <w:i/>
          <w:sz w:val="28"/>
          <w:szCs w:val="28"/>
        </w:rPr>
        <w:t xml:space="preserve"> між різними соціальними групами молоді.</w:t>
      </w:r>
    </w:p>
    <w:p w:rsidR="001874AB" w:rsidRPr="009F0D65" w:rsidRDefault="009F0D65" w:rsidP="001874AB">
      <w:pPr>
        <w:ind w:firstLine="567"/>
        <w:rPr>
          <w:b/>
          <w:strike/>
          <w:sz w:val="28"/>
          <w:szCs w:val="28"/>
        </w:rPr>
      </w:pPr>
      <w:r w:rsidRPr="001E3E99">
        <w:rPr>
          <w:b/>
          <w:i/>
          <w:iCs/>
          <w:sz w:val="28"/>
          <w:szCs w:val="28"/>
          <w:u w:val="single"/>
        </w:rPr>
        <w:t>Виконання завдання 1 забезпечить:</w:t>
      </w:r>
      <w:r>
        <w:rPr>
          <w:b/>
          <w:i/>
          <w:iCs/>
          <w:sz w:val="28"/>
          <w:szCs w:val="28"/>
          <w:u w:val="single"/>
        </w:rPr>
        <w:t xml:space="preserve"> </w:t>
      </w:r>
    </w:p>
    <w:p w:rsidR="001874AB" w:rsidRDefault="001874AB" w:rsidP="001874AB">
      <w:pPr>
        <w:ind w:firstLine="567"/>
        <w:rPr>
          <w:sz w:val="28"/>
          <w:szCs w:val="28"/>
        </w:rPr>
      </w:pPr>
      <w:r>
        <w:rPr>
          <w:sz w:val="28"/>
          <w:szCs w:val="28"/>
        </w:rPr>
        <w:t>- подолання інформаційного вакууму та забезпеченні систематичного інформування молоді про процеси та можливості стати їх активними учасниками;</w:t>
      </w:r>
    </w:p>
    <w:p w:rsidR="001874AB" w:rsidRDefault="001874AB" w:rsidP="001874AB">
      <w:pPr>
        <w:ind w:firstLine="567"/>
        <w:rPr>
          <w:sz w:val="28"/>
          <w:szCs w:val="28"/>
        </w:rPr>
      </w:pPr>
      <w:r>
        <w:rPr>
          <w:sz w:val="28"/>
          <w:szCs w:val="28"/>
        </w:rPr>
        <w:t>- залучення молоді до прийняття рішень на постійній основі через діяльність молодіжних рад, участі у засіданнях громадських рад при органах місцевого самоврядування, створенні та реалізації місцевих цільових програм;</w:t>
      </w:r>
    </w:p>
    <w:p w:rsidR="001874AB" w:rsidRDefault="001874AB" w:rsidP="001874AB">
      <w:pPr>
        <w:ind w:firstLine="567"/>
        <w:rPr>
          <w:sz w:val="28"/>
          <w:szCs w:val="28"/>
        </w:rPr>
      </w:pPr>
      <w:r>
        <w:rPr>
          <w:sz w:val="28"/>
          <w:szCs w:val="28"/>
        </w:rPr>
        <w:t>- навчання молоді з питань використання інструментів участі та громадського впливу;</w:t>
      </w:r>
    </w:p>
    <w:p w:rsidR="001874AB" w:rsidRDefault="001874AB" w:rsidP="001874AB">
      <w:pPr>
        <w:ind w:firstLine="567"/>
        <w:rPr>
          <w:sz w:val="28"/>
          <w:szCs w:val="28"/>
        </w:rPr>
      </w:pPr>
      <w:r>
        <w:rPr>
          <w:sz w:val="28"/>
          <w:szCs w:val="28"/>
        </w:rPr>
        <w:t xml:space="preserve">- сприяння соціальній згуртованості через формування навиків ефективної та </w:t>
      </w:r>
      <w:proofErr w:type="spellStart"/>
      <w:r>
        <w:rPr>
          <w:sz w:val="28"/>
          <w:szCs w:val="28"/>
        </w:rPr>
        <w:t>безбар</w:t>
      </w:r>
      <w:proofErr w:type="spellEnd"/>
      <w:r>
        <w:rPr>
          <w:sz w:val="28"/>
          <w:szCs w:val="28"/>
          <w:lang w:val="en-US"/>
        </w:rPr>
        <w:t>’</w:t>
      </w:r>
      <w:proofErr w:type="spellStart"/>
      <w:r>
        <w:rPr>
          <w:sz w:val="28"/>
          <w:szCs w:val="28"/>
        </w:rPr>
        <w:t>єрної</w:t>
      </w:r>
      <w:proofErr w:type="spellEnd"/>
      <w:r>
        <w:rPr>
          <w:sz w:val="28"/>
          <w:szCs w:val="28"/>
        </w:rPr>
        <w:t xml:space="preserve"> комунікації, а також створення дієвих платформ для </w:t>
      </w:r>
      <w:proofErr w:type="spellStart"/>
      <w:r>
        <w:rPr>
          <w:sz w:val="28"/>
          <w:szCs w:val="28"/>
        </w:rPr>
        <w:t>нетворкінгу</w:t>
      </w:r>
      <w:proofErr w:type="spellEnd"/>
      <w:r>
        <w:rPr>
          <w:sz w:val="28"/>
          <w:szCs w:val="28"/>
        </w:rPr>
        <w:t xml:space="preserve"> та соціалізації;</w:t>
      </w:r>
    </w:p>
    <w:p w:rsidR="001874AB" w:rsidRPr="001874AB" w:rsidRDefault="001874AB" w:rsidP="001874AB">
      <w:pPr>
        <w:ind w:firstLine="567"/>
        <w:rPr>
          <w:sz w:val="28"/>
          <w:szCs w:val="28"/>
        </w:rPr>
      </w:pPr>
      <w:r>
        <w:rPr>
          <w:sz w:val="28"/>
          <w:szCs w:val="28"/>
          <w:lang w:val="en-US"/>
        </w:rPr>
        <w:t>-</w:t>
      </w:r>
      <w:r>
        <w:rPr>
          <w:sz w:val="28"/>
          <w:szCs w:val="28"/>
        </w:rPr>
        <w:t xml:space="preserve"> розширення можливостей для молоді з віддалених громад, сіл та селищ області.</w:t>
      </w:r>
    </w:p>
    <w:p w:rsidR="007C3433" w:rsidRDefault="007C3433" w:rsidP="00E52234">
      <w:pPr>
        <w:ind w:firstLine="539"/>
        <w:rPr>
          <w:b/>
          <w:sz w:val="28"/>
          <w:szCs w:val="28"/>
        </w:rPr>
      </w:pPr>
      <w:r w:rsidRPr="007C3433">
        <w:rPr>
          <w:b/>
          <w:sz w:val="28"/>
          <w:szCs w:val="28"/>
        </w:rPr>
        <w:t>Завдання 2.</w:t>
      </w:r>
      <w:r>
        <w:rPr>
          <w:b/>
          <w:sz w:val="28"/>
          <w:szCs w:val="28"/>
        </w:rPr>
        <w:t xml:space="preserve"> Сприяння самореалізації та економічної спроможності  молоді, шляхом розвитку молодіжної інфраструктури та підтримки молодіжних ініціатив.</w:t>
      </w:r>
    </w:p>
    <w:p w:rsidR="007C3433" w:rsidRPr="007C3433" w:rsidRDefault="007C3433" w:rsidP="00E52234">
      <w:pPr>
        <w:ind w:firstLine="539"/>
        <w:rPr>
          <w:i/>
          <w:sz w:val="28"/>
          <w:szCs w:val="28"/>
        </w:rPr>
      </w:pPr>
      <w:r w:rsidRPr="007C3433">
        <w:rPr>
          <w:i/>
          <w:sz w:val="28"/>
          <w:szCs w:val="28"/>
        </w:rPr>
        <w:t>Захід 1.</w:t>
      </w:r>
      <w:r>
        <w:rPr>
          <w:i/>
          <w:sz w:val="28"/>
          <w:szCs w:val="28"/>
        </w:rPr>
        <w:t xml:space="preserve"> Розвиток цифрових </w:t>
      </w:r>
      <w:proofErr w:type="spellStart"/>
      <w:r>
        <w:rPr>
          <w:i/>
          <w:sz w:val="28"/>
          <w:szCs w:val="28"/>
        </w:rPr>
        <w:t>компетентностей</w:t>
      </w:r>
      <w:proofErr w:type="spellEnd"/>
      <w:r>
        <w:rPr>
          <w:i/>
          <w:sz w:val="28"/>
          <w:szCs w:val="28"/>
        </w:rPr>
        <w:t xml:space="preserve">, </w:t>
      </w:r>
      <w:proofErr w:type="spellStart"/>
      <w:r>
        <w:rPr>
          <w:i/>
          <w:sz w:val="28"/>
          <w:szCs w:val="28"/>
        </w:rPr>
        <w:t>медіаграмотності</w:t>
      </w:r>
      <w:proofErr w:type="spellEnd"/>
      <w:r>
        <w:rPr>
          <w:i/>
          <w:sz w:val="28"/>
          <w:szCs w:val="28"/>
        </w:rPr>
        <w:t xml:space="preserve"> та інших навичок.</w:t>
      </w:r>
    </w:p>
    <w:p w:rsidR="007C3433" w:rsidRDefault="007C3433" w:rsidP="00E52234">
      <w:pPr>
        <w:ind w:firstLine="539"/>
        <w:rPr>
          <w:i/>
          <w:sz w:val="28"/>
          <w:szCs w:val="28"/>
        </w:rPr>
      </w:pPr>
      <w:r w:rsidRPr="007C3433">
        <w:rPr>
          <w:i/>
          <w:sz w:val="28"/>
          <w:szCs w:val="28"/>
        </w:rPr>
        <w:t>Захід 2.</w:t>
      </w:r>
      <w:r>
        <w:rPr>
          <w:i/>
          <w:sz w:val="28"/>
          <w:szCs w:val="28"/>
        </w:rPr>
        <w:t xml:space="preserve"> Вплив молодіжних центрів та просторів на підтримку та розвиток ініціатив молоді.</w:t>
      </w:r>
    </w:p>
    <w:p w:rsidR="001874AB" w:rsidRPr="009F0D65" w:rsidRDefault="009F0D65" w:rsidP="001874AB">
      <w:pPr>
        <w:ind w:firstLine="567"/>
        <w:rPr>
          <w:b/>
          <w:i/>
          <w:iCs/>
          <w:strike/>
          <w:sz w:val="28"/>
          <w:szCs w:val="28"/>
          <w:u w:val="single"/>
        </w:rPr>
      </w:pPr>
      <w:r w:rsidRPr="001E3E99">
        <w:rPr>
          <w:b/>
          <w:i/>
          <w:iCs/>
          <w:sz w:val="28"/>
          <w:szCs w:val="28"/>
          <w:u w:val="single"/>
        </w:rPr>
        <w:lastRenderedPageBreak/>
        <w:t>Виконання завдання 2 забезпечить:</w:t>
      </w:r>
      <w:r>
        <w:rPr>
          <w:b/>
          <w:i/>
          <w:iCs/>
          <w:sz w:val="28"/>
          <w:szCs w:val="28"/>
          <w:u w:val="single"/>
        </w:rPr>
        <w:t xml:space="preserve"> </w:t>
      </w:r>
    </w:p>
    <w:p w:rsidR="00BA5E0C" w:rsidRPr="00BA5E0C" w:rsidRDefault="00BA5E0C" w:rsidP="00BA5E0C">
      <w:pPr>
        <w:numPr>
          <w:ilvl w:val="0"/>
          <w:numId w:val="3"/>
        </w:numPr>
        <w:contextualSpacing/>
        <w:rPr>
          <w:sz w:val="28"/>
          <w:szCs w:val="28"/>
          <w:lang w:eastAsia="uk-UA"/>
        </w:rPr>
      </w:pPr>
      <w:r w:rsidRPr="00BA5E0C">
        <w:rPr>
          <w:sz w:val="28"/>
          <w:szCs w:val="28"/>
          <w:lang w:eastAsia="uk-UA"/>
        </w:rPr>
        <w:t>розширення шляхів та методів мобільної молодіжної роботи;</w:t>
      </w:r>
    </w:p>
    <w:p w:rsidR="00BA5E0C" w:rsidRPr="00BA5E0C" w:rsidRDefault="00BA5E0C" w:rsidP="00BA5E0C">
      <w:pPr>
        <w:numPr>
          <w:ilvl w:val="0"/>
          <w:numId w:val="3"/>
        </w:numPr>
        <w:ind w:left="0" w:firstLine="567"/>
        <w:contextualSpacing/>
        <w:rPr>
          <w:sz w:val="28"/>
          <w:szCs w:val="28"/>
          <w:lang w:eastAsia="uk-UA"/>
        </w:rPr>
      </w:pPr>
      <w:r>
        <w:rPr>
          <w:sz w:val="28"/>
          <w:szCs w:val="28"/>
          <w:lang w:eastAsia="uk-UA"/>
        </w:rPr>
        <w:t xml:space="preserve">   </w:t>
      </w:r>
      <w:r w:rsidRPr="00BA5E0C">
        <w:rPr>
          <w:sz w:val="28"/>
          <w:szCs w:val="28"/>
          <w:lang w:eastAsia="uk-UA"/>
        </w:rPr>
        <w:t xml:space="preserve">створення/удосконалення об’єктів інфраструктури для дозвілля (кінотеатри, молодіжні простори та центри, функціональні хаби, заклади денного та вечірнього дозвілля, облаштування майданчиків під відкритим небом) та спорту (басейни, місця для тренувань та занять різними видами спорту), розвиток </w:t>
      </w:r>
      <w:proofErr w:type="spellStart"/>
      <w:r w:rsidRPr="00BA5E0C">
        <w:rPr>
          <w:sz w:val="28"/>
          <w:szCs w:val="28"/>
          <w:lang w:eastAsia="uk-UA"/>
        </w:rPr>
        <w:t>велоінфраструктури</w:t>
      </w:r>
      <w:proofErr w:type="spellEnd"/>
      <w:r w:rsidRPr="00BA5E0C">
        <w:rPr>
          <w:sz w:val="28"/>
          <w:szCs w:val="28"/>
          <w:lang w:eastAsia="uk-UA"/>
        </w:rPr>
        <w:t>, тощо;</w:t>
      </w:r>
    </w:p>
    <w:p w:rsidR="00BA5E0C" w:rsidRPr="00BA5E0C" w:rsidRDefault="00BA5E0C" w:rsidP="00BA5E0C">
      <w:pPr>
        <w:numPr>
          <w:ilvl w:val="0"/>
          <w:numId w:val="3"/>
        </w:numPr>
        <w:contextualSpacing/>
        <w:rPr>
          <w:sz w:val="28"/>
          <w:szCs w:val="28"/>
          <w:lang w:eastAsia="uk-UA"/>
        </w:rPr>
      </w:pPr>
      <w:r w:rsidRPr="00BA5E0C">
        <w:rPr>
          <w:sz w:val="28"/>
          <w:szCs w:val="28"/>
          <w:lang w:eastAsia="uk-UA"/>
        </w:rPr>
        <w:t xml:space="preserve">забезпечення інформаційної та фізичної </w:t>
      </w:r>
      <w:proofErr w:type="spellStart"/>
      <w:r w:rsidRPr="00BA5E0C">
        <w:rPr>
          <w:sz w:val="28"/>
          <w:szCs w:val="28"/>
          <w:lang w:eastAsia="uk-UA"/>
        </w:rPr>
        <w:t>безбарєрності</w:t>
      </w:r>
      <w:proofErr w:type="spellEnd"/>
      <w:r w:rsidRPr="00BA5E0C">
        <w:rPr>
          <w:sz w:val="28"/>
          <w:szCs w:val="28"/>
          <w:lang w:eastAsia="uk-UA"/>
        </w:rPr>
        <w:t>;</w:t>
      </w:r>
    </w:p>
    <w:p w:rsidR="00BA5E0C" w:rsidRPr="00BA5E0C" w:rsidRDefault="00BA5E0C" w:rsidP="00BA5E0C">
      <w:pPr>
        <w:numPr>
          <w:ilvl w:val="0"/>
          <w:numId w:val="3"/>
        </w:numPr>
        <w:contextualSpacing/>
        <w:rPr>
          <w:sz w:val="28"/>
          <w:szCs w:val="28"/>
          <w:lang w:eastAsia="uk-UA"/>
        </w:rPr>
      </w:pPr>
      <w:r w:rsidRPr="00BA5E0C">
        <w:rPr>
          <w:sz w:val="28"/>
          <w:szCs w:val="28"/>
          <w:lang w:eastAsia="uk-UA"/>
        </w:rPr>
        <w:t>підтримку молодіжного підприємництва;</w:t>
      </w:r>
    </w:p>
    <w:p w:rsidR="00BA5E0C" w:rsidRPr="00BA5E0C" w:rsidRDefault="00BA5E0C" w:rsidP="00BA5E0C">
      <w:pPr>
        <w:numPr>
          <w:ilvl w:val="0"/>
          <w:numId w:val="3"/>
        </w:numPr>
        <w:ind w:left="0" w:firstLine="567"/>
        <w:contextualSpacing/>
        <w:rPr>
          <w:sz w:val="28"/>
          <w:szCs w:val="28"/>
          <w:lang w:eastAsia="uk-UA"/>
        </w:rPr>
      </w:pPr>
      <w:r>
        <w:rPr>
          <w:sz w:val="28"/>
          <w:szCs w:val="28"/>
          <w:lang w:eastAsia="uk-UA"/>
        </w:rPr>
        <w:t xml:space="preserve">   </w:t>
      </w:r>
      <w:r w:rsidRPr="00BA5E0C">
        <w:rPr>
          <w:sz w:val="28"/>
          <w:szCs w:val="28"/>
          <w:lang w:eastAsia="uk-UA"/>
        </w:rPr>
        <w:t>мінімізація розриву між професійними очікуваннями молоді та реальними запитами ринку праці через налагодження взаємодії між молодими людьми та роботодавцями;</w:t>
      </w:r>
    </w:p>
    <w:p w:rsidR="00BA5E0C" w:rsidRPr="00BA5E0C" w:rsidRDefault="00BA5E0C" w:rsidP="00BA5E0C">
      <w:pPr>
        <w:numPr>
          <w:ilvl w:val="0"/>
          <w:numId w:val="3"/>
        </w:numPr>
        <w:ind w:left="0" w:firstLine="567"/>
        <w:contextualSpacing/>
        <w:rPr>
          <w:sz w:val="28"/>
          <w:szCs w:val="28"/>
          <w:lang w:eastAsia="uk-UA"/>
        </w:rPr>
      </w:pPr>
      <w:r>
        <w:rPr>
          <w:sz w:val="28"/>
          <w:szCs w:val="28"/>
          <w:lang w:eastAsia="uk-UA"/>
        </w:rPr>
        <w:t xml:space="preserve">   </w:t>
      </w:r>
      <w:r w:rsidRPr="00BA5E0C">
        <w:rPr>
          <w:sz w:val="28"/>
          <w:szCs w:val="28"/>
          <w:lang w:eastAsia="uk-UA"/>
        </w:rPr>
        <w:t>запровадження системи стажувань, програм менторської підтримки молоді місцевим бізнесом;</w:t>
      </w:r>
    </w:p>
    <w:p w:rsidR="00BA5E0C" w:rsidRPr="00BA5E0C" w:rsidRDefault="00BA5E0C" w:rsidP="00BA5E0C">
      <w:pPr>
        <w:numPr>
          <w:ilvl w:val="0"/>
          <w:numId w:val="3"/>
        </w:numPr>
        <w:contextualSpacing/>
        <w:rPr>
          <w:sz w:val="28"/>
          <w:szCs w:val="28"/>
          <w:lang w:eastAsia="uk-UA"/>
        </w:rPr>
      </w:pPr>
      <w:r w:rsidRPr="00BA5E0C">
        <w:rPr>
          <w:sz w:val="28"/>
          <w:szCs w:val="28"/>
          <w:lang w:eastAsia="uk-UA"/>
        </w:rPr>
        <w:t>навчання молодих людей фінансової грамотності.</w:t>
      </w:r>
    </w:p>
    <w:p w:rsidR="007C3433" w:rsidRDefault="007C3433" w:rsidP="00E52234">
      <w:pPr>
        <w:ind w:firstLine="539"/>
        <w:rPr>
          <w:b/>
          <w:sz w:val="28"/>
          <w:szCs w:val="28"/>
        </w:rPr>
      </w:pPr>
      <w:r w:rsidRPr="007C3433">
        <w:rPr>
          <w:b/>
          <w:sz w:val="28"/>
          <w:szCs w:val="28"/>
        </w:rPr>
        <w:t>Завдання 3.</w:t>
      </w:r>
      <w:r>
        <w:rPr>
          <w:b/>
          <w:sz w:val="28"/>
          <w:szCs w:val="28"/>
        </w:rPr>
        <w:t xml:space="preserve"> Утвердження української національної та громадянської ідентичності.</w:t>
      </w:r>
    </w:p>
    <w:p w:rsidR="007C3433" w:rsidRPr="007C3433" w:rsidRDefault="007C3433" w:rsidP="00E52234">
      <w:pPr>
        <w:ind w:firstLine="539"/>
        <w:rPr>
          <w:i/>
          <w:sz w:val="28"/>
          <w:szCs w:val="28"/>
        </w:rPr>
      </w:pPr>
      <w:r w:rsidRPr="007C3433">
        <w:rPr>
          <w:i/>
          <w:sz w:val="28"/>
          <w:szCs w:val="28"/>
        </w:rPr>
        <w:t>Захід 1.</w:t>
      </w:r>
      <w:r>
        <w:rPr>
          <w:i/>
          <w:sz w:val="28"/>
          <w:szCs w:val="28"/>
        </w:rPr>
        <w:t xml:space="preserve"> Формування оборонної свідомості</w:t>
      </w:r>
      <w:r w:rsidR="00CC77E6">
        <w:rPr>
          <w:i/>
          <w:sz w:val="28"/>
          <w:szCs w:val="28"/>
        </w:rPr>
        <w:t xml:space="preserve"> та громадянської стійкості.</w:t>
      </w:r>
    </w:p>
    <w:p w:rsidR="007C3433" w:rsidRDefault="007C3433" w:rsidP="00E52234">
      <w:pPr>
        <w:ind w:firstLine="539"/>
        <w:rPr>
          <w:i/>
          <w:sz w:val="28"/>
          <w:szCs w:val="28"/>
        </w:rPr>
      </w:pPr>
      <w:r w:rsidRPr="007C3433">
        <w:rPr>
          <w:i/>
          <w:sz w:val="28"/>
          <w:szCs w:val="28"/>
        </w:rPr>
        <w:t>Захід 2.</w:t>
      </w:r>
      <w:r>
        <w:rPr>
          <w:i/>
          <w:sz w:val="28"/>
          <w:szCs w:val="28"/>
        </w:rPr>
        <w:t xml:space="preserve"> Формування культури </w:t>
      </w:r>
      <w:proofErr w:type="spellStart"/>
      <w:r>
        <w:rPr>
          <w:i/>
          <w:sz w:val="28"/>
          <w:szCs w:val="28"/>
        </w:rPr>
        <w:t>пам</w:t>
      </w:r>
      <w:proofErr w:type="spellEnd"/>
      <w:r>
        <w:rPr>
          <w:i/>
          <w:sz w:val="28"/>
          <w:szCs w:val="28"/>
          <w:lang w:val="en-US"/>
        </w:rPr>
        <w:t>’</w:t>
      </w:r>
      <w:r>
        <w:rPr>
          <w:i/>
          <w:sz w:val="28"/>
          <w:szCs w:val="28"/>
        </w:rPr>
        <w:t>яті та вшанування.</w:t>
      </w:r>
    </w:p>
    <w:p w:rsidR="00CC77E6" w:rsidRDefault="00CC77E6" w:rsidP="00E52234">
      <w:pPr>
        <w:ind w:firstLine="539"/>
        <w:rPr>
          <w:i/>
          <w:sz w:val="28"/>
          <w:szCs w:val="28"/>
        </w:rPr>
      </w:pPr>
      <w:r>
        <w:rPr>
          <w:i/>
          <w:sz w:val="28"/>
          <w:szCs w:val="28"/>
        </w:rPr>
        <w:t>Захід 3. Підтримка ініціатив молоді що спрямовані на у</w:t>
      </w:r>
      <w:r w:rsidRPr="00CC77E6">
        <w:rPr>
          <w:i/>
          <w:sz w:val="28"/>
          <w:szCs w:val="28"/>
        </w:rPr>
        <w:t>твердження української національної та громадянської ідентичності.</w:t>
      </w:r>
    </w:p>
    <w:p w:rsidR="001874AB" w:rsidRPr="00BA5E0C" w:rsidRDefault="00BA5E0C" w:rsidP="001874AB">
      <w:pPr>
        <w:ind w:firstLine="567"/>
        <w:rPr>
          <w:b/>
          <w:i/>
          <w:iCs/>
          <w:strike/>
          <w:sz w:val="28"/>
          <w:szCs w:val="28"/>
          <w:u w:val="single"/>
        </w:rPr>
      </w:pPr>
      <w:r w:rsidRPr="001E3E99">
        <w:rPr>
          <w:b/>
          <w:i/>
          <w:iCs/>
          <w:sz w:val="28"/>
          <w:szCs w:val="28"/>
          <w:u w:val="single"/>
        </w:rPr>
        <w:t>Виконання завдання 3 забезпечить:</w:t>
      </w:r>
      <w:r>
        <w:rPr>
          <w:b/>
          <w:i/>
          <w:iCs/>
          <w:sz w:val="28"/>
          <w:szCs w:val="28"/>
          <w:u w:val="single"/>
        </w:rPr>
        <w:t xml:space="preserve"> </w:t>
      </w:r>
    </w:p>
    <w:p w:rsidR="00BA5E0C" w:rsidRDefault="00BA5E0C" w:rsidP="001874AB">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підтримку ініціатив молоді, що спрямовані на утвердження  </w:t>
      </w:r>
      <w:r w:rsidRPr="00E1541B">
        <w:rPr>
          <w:rFonts w:ascii="Times New Roman" w:eastAsia="Times New Roman" w:hAnsi="Times New Roman" w:cs="Times New Roman"/>
          <w:sz w:val="28"/>
          <w:szCs w:val="28"/>
          <w:lang w:val="uk-UA"/>
        </w:rPr>
        <w:t>української національної та громадянської ідентичності</w:t>
      </w:r>
      <w:r>
        <w:rPr>
          <w:rFonts w:ascii="Times New Roman" w:eastAsia="Times New Roman" w:hAnsi="Times New Roman" w:cs="Times New Roman"/>
          <w:sz w:val="28"/>
          <w:szCs w:val="28"/>
          <w:lang w:val="uk-UA"/>
        </w:rPr>
        <w:t xml:space="preserve">; </w:t>
      </w:r>
    </w:p>
    <w:p w:rsidR="00BA5E0C" w:rsidRDefault="00BA5E0C" w:rsidP="00BA5E0C">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E461A3">
        <w:rPr>
          <w:rFonts w:ascii="Times New Roman" w:eastAsia="Times New Roman" w:hAnsi="Times New Roman" w:cs="Times New Roman"/>
          <w:sz w:val="28"/>
          <w:szCs w:val="28"/>
          <w:lang w:val="uk-UA"/>
        </w:rPr>
        <w:t>здійснення заходів та реалізація проектів, спрямованих на популяризацію історії України, зокрема боротьби українського народу за самовизначення і творення власної держави, видатних особистостей українського державотворення, ветеранів війни, Захисників та Захисниць України, які полягли в боротьбі за захист незалежності та територіальної цілісності України, українців, досягнення яких увійшли до світової історії</w:t>
      </w:r>
      <w:r>
        <w:rPr>
          <w:rFonts w:ascii="Times New Roman" w:eastAsia="Times New Roman" w:hAnsi="Times New Roman" w:cs="Times New Roman"/>
          <w:sz w:val="28"/>
          <w:szCs w:val="28"/>
          <w:lang w:val="uk-UA"/>
        </w:rPr>
        <w:t>;</w:t>
      </w:r>
    </w:p>
    <w:p w:rsidR="001E3E99" w:rsidRDefault="00BA5E0C" w:rsidP="001E3E99">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E461A3">
        <w:rPr>
          <w:rFonts w:ascii="Times New Roman" w:eastAsia="Times New Roman" w:hAnsi="Times New Roman" w:cs="Times New Roman"/>
          <w:sz w:val="28"/>
          <w:szCs w:val="28"/>
          <w:lang w:val="uk-UA"/>
        </w:rPr>
        <w:t xml:space="preserve">проведення заходів та реалізація проектів, спрямованих на утвердження сімейних цінностей та активне залучення сім’ї до формування української </w:t>
      </w:r>
      <w:r w:rsidRPr="001E3E99">
        <w:rPr>
          <w:rFonts w:ascii="Times New Roman" w:eastAsia="Times New Roman" w:hAnsi="Times New Roman" w:cs="Times New Roman"/>
          <w:sz w:val="28"/>
          <w:szCs w:val="28"/>
          <w:lang w:val="uk-UA"/>
        </w:rPr>
        <w:t>національної</w:t>
      </w:r>
      <w:r w:rsidRPr="00E461A3">
        <w:rPr>
          <w:rFonts w:ascii="Times New Roman" w:eastAsia="Times New Roman" w:hAnsi="Times New Roman" w:cs="Times New Roman"/>
          <w:sz w:val="28"/>
          <w:szCs w:val="28"/>
          <w:lang w:val="uk-UA"/>
        </w:rPr>
        <w:t xml:space="preserve"> та громадянської ідентичності</w:t>
      </w:r>
      <w:r>
        <w:rPr>
          <w:rFonts w:ascii="Times New Roman" w:eastAsia="Times New Roman" w:hAnsi="Times New Roman" w:cs="Times New Roman"/>
          <w:sz w:val="28"/>
          <w:szCs w:val="28"/>
          <w:lang w:val="uk-UA"/>
        </w:rPr>
        <w:t>;</w:t>
      </w:r>
    </w:p>
    <w:p w:rsidR="001874AB" w:rsidRPr="001E3E99" w:rsidRDefault="001874AB" w:rsidP="001E3E99">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1E3E99">
        <w:rPr>
          <w:rFonts w:ascii="Times New Roman" w:eastAsia="Times New Roman" w:hAnsi="Times New Roman" w:cs="Times New Roman"/>
          <w:sz w:val="28"/>
          <w:szCs w:val="28"/>
          <w:lang w:val="uk-UA"/>
        </w:rPr>
        <w:t>створення та реалізацію заходів військово-патріотичного виховання</w:t>
      </w:r>
      <w:r w:rsidR="001E3E99" w:rsidRPr="001E3E99">
        <w:rPr>
          <w:rFonts w:ascii="Times New Roman" w:eastAsia="Times New Roman" w:hAnsi="Times New Roman" w:cs="Times New Roman"/>
          <w:sz w:val="28"/>
          <w:szCs w:val="28"/>
          <w:lang w:val="uk-UA"/>
        </w:rPr>
        <w:t>;</w:t>
      </w:r>
    </w:p>
    <w:p w:rsidR="001874AB" w:rsidRDefault="001874AB" w:rsidP="001874AB">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E461A3">
        <w:rPr>
          <w:rFonts w:ascii="Times New Roman" w:eastAsia="Times New Roman" w:hAnsi="Times New Roman" w:cs="Times New Roman"/>
          <w:sz w:val="28"/>
          <w:szCs w:val="28"/>
          <w:lang w:val="uk-UA"/>
        </w:rPr>
        <w:t>здійснення заходів, спрямованих на популяризацію військової служби, діяльності сил безпеки і оборони України та військової історії</w:t>
      </w:r>
      <w:r>
        <w:rPr>
          <w:rFonts w:ascii="Times New Roman" w:eastAsia="Times New Roman" w:hAnsi="Times New Roman" w:cs="Times New Roman"/>
          <w:sz w:val="28"/>
          <w:szCs w:val="28"/>
          <w:lang w:val="uk-UA"/>
        </w:rPr>
        <w:t>;</w:t>
      </w:r>
    </w:p>
    <w:p w:rsidR="001874AB" w:rsidRDefault="001874AB" w:rsidP="001874AB">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bookmarkStart w:id="3" w:name="_Hlk215132619"/>
      <w:r w:rsidRPr="00E461A3">
        <w:rPr>
          <w:rFonts w:ascii="Times New Roman" w:eastAsia="Times New Roman" w:hAnsi="Times New Roman" w:cs="Times New Roman"/>
          <w:sz w:val="28"/>
          <w:szCs w:val="28"/>
          <w:lang w:val="uk-UA"/>
        </w:rPr>
        <w:t>здійснення заходів та реалізація проектів, спрямованих на популяризацію історії України, зокрема боротьби українського народу за самовизначення і творення власної держави, видатних особистостей українського державотворення, ветеранів війни, Захисників та Захисниць України, які полягли в боротьбі за захист незалежності та територіальної цілісності України, українців, досягнення яких увійшли до світової історії</w:t>
      </w:r>
      <w:r>
        <w:rPr>
          <w:rFonts w:ascii="Times New Roman" w:eastAsia="Times New Roman" w:hAnsi="Times New Roman" w:cs="Times New Roman"/>
          <w:sz w:val="28"/>
          <w:szCs w:val="28"/>
          <w:lang w:val="uk-UA"/>
        </w:rPr>
        <w:t>;</w:t>
      </w:r>
    </w:p>
    <w:p w:rsidR="001874AB" w:rsidRDefault="001874AB" w:rsidP="001874AB">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E461A3">
        <w:rPr>
          <w:rFonts w:ascii="Times New Roman" w:eastAsia="Times New Roman" w:hAnsi="Times New Roman" w:cs="Times New Roman"/>
          <w:sz w:val="28"/>
          <w:szCs w:val="28"/>
          <w:lang w:val="uk-UA"/>
        </w:rPr>
        <w:t>проведення заходів та реалізація проектів, спрямованих на утвердження сімейних цінностей та активне залучення сім’ї до формування української національної та громадянської ідентичності</w:t>
      </w:r>
      <w:r w:rsidR="00BA5E0C">
        <w:rPr>
          <w:rFonts w:ascii="Times New Roman" w:eastAsia="Times New Roman" w:hAnsi="Times New Roman" w:cs="Times New Roman"/>
          <w:sz w:val="28"/>
          <w:szCs w:val="28"/>
          <w:lang w:val="uk-UA"/>
        </w:rPr>
        <w:t>.</w:t>
      </w:r>
    </w:p>
    <w:bookmarkEnd w:id="3"/>
    <w:p w:rsidR="00CC77E6" w:rsidRPr="00CC77E6" w:rsidRDefault="00CC77E6" w:rsidP="00E52234">
      <w:pPr>
        <w:ind w:firstLine="539"/>
        <w:rPr>
          <w:b/>
          <w:sz w:val="28"/>
          <w:szCs w:val="28"/>
        </w:rPr>
      </w:pPr>
      <w:r w:rsidRPr="00CC77E6">
        <w:rPr>
          <w:b/>
          <w:sz w:val="28"/>
          <w:szCs w:val="28"/>
        </w:rPr>
        <w:lastRenderedPageBreak/>
        <w:t>Завдання 4. Підвищення спроможності та демократичного врядування інститутів громадянського суспільства.</w:t>
      </w:r>
    </w:p>
    <w:p w:rsidR="00CC77E6" w:rsidRDefault="00CC77E6" w:rsidP="00E52234">
      <w:pPr>
        <w:ind w:firstLine="539"/>
        <w:rPr>
          <w:i/>
          <w:sz w:val="28"/>
          <w:szCs w:val="28"/>
        </w:rPr>
      </w:pPr>
      <w:r w:rsidRPr="00457B46">
        <w:rPr>
          <w:i/>
          <w:sz w:val="28"/>
          <w:szCs w:val="28"/>
        </w:rPr>
        <w:t xml:space="preserve">Захід 1. Підтримка на конкурсних засадах </w:t>
      </w:r>
      <w:proofErr w:type="spellStart"/>
      <w:r w:rsidRPr="00457B46">
        <w:rPr>
          <w:i/>
          <w:sz w:val="28"/>
          <w:szCs w:val="28"/>
        </w:rPr>
        <w:t>проєктів</w:t>
      </w:r>
      <w:proofErr w:type="spellEnd"/>
      <w:r w:rsidRPr="00457B46">
        <w:rPr>
          <w:i/>
          <w:sz w:val="28"/>
          <w:szCs w:val="28"/>
        </w:rPr>
        <w:t xml:space="preserve"> і заходів, розроблених інститутами громадянського суспільства, для виконання (реалізації) яких надається фінансова підтримка, згідно з Постановою КМУ від </w:t>
      </w:r>
      <w:r w:rsidR="00457B46" w:rsidRPr="00457B46">
        <w:rPr>
          <w:i/>
          <w:sz w:val="28"/>
          <w:szCs w:val="28"/>
        </w:rPr>
        <w:t>12.10.2011 року №1049 (зі змінами).</w:t>
      </w:r>
    </w:p>
    <w:p w:rsidR="00DF46EA" w:rsidRPr="00DF46EA" w:rsidRDefault="001E3E99" w:rsidP="00DF46EA">
      <w:pPr>
        <w:ind w:firstLine="567"/>
        <w:rPr>
          <w:b/>
          <w:i/>
          <w:iCs/>
          <w:sz w:val="28"/>
          <w:szCs w:val="28"/>
          <w:u w:val="single"/>
        </w:rPr>
      </w:pPr>
      <w:r>
        <w:rPr>
          <w:b/>
          <w:i/>
          <w:iCs/>
          <w:sz w:val="28"/>
          <w:szCs w:val="28"/>
          <w:u w:val="single"/>
        </w:rPr>
        <w:t>Виконання з</w:t>
      </w:r>
      <w:r w:rsidR="00DF46EA" w:rsidRPr="00DF46EA">
        <w:rPr>
          <w:b/>
          <w:i/>
          <w:iCs/>
          <w:sz w:val="28"/>
          <w:szCs w:val="28"/>
          <w:u w:val="single"/>
        </w:rPr>
        <w:t xml:space="preserve">авдання </w:t>
      </w:r>
      <w:r>
        <w:rPr>
          <w:b/>
          <w:i/>
          <w:iCs/>
          <w:sz w:val="28"/>
          <w:szCs w:val="28"/>
          <w:u w:val="single"/>
        </w:rPr>
        <w:t>4 забезпечить</w:t>
      </w:r>
      <w:r w:rsidR="00DF46EA" w:rsidRPr="00DF46EA">
        <w:rPr>
          <w:b/>
          <w:i/>
          <w:iCs/>
          <w:sz w:val="28"/>
          <w:szCs w:val="28"/>
          <w:u w:val="single"/>
        </w:rPr>
        <w:t>:</w:t>
      </w:r>
    </w:p>
    <w:p w:rsidR="00DF46EA" w:rsidRPr="00704644" w:rsidRDefault="00DF46EA" w:rsidP="00DF46EA">
      <w:pPr>
        <w:pStyle w:val="a9"/>
        <w:numPr>
          <w:ilvl w:val="0"/>
          <w:numId w:val="3"/>
        </w:numPr>
        <w:spacing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залучення молоді до створення/перегляду умов конкурсу </w:t>
      </w:r>
      <w:proofErr w:type="spellStart"/>
      <w:r>
        <w:rPr>
          <w:rFonts w:ascii="Times New Roman" w:eastAsia="Times New Roman" w:hAnsi="Times New Roman" w:cs="Times New Roman"/>
          <w:sz w:val="28"/>
          <w:szCs w:val="28"/>
          <w:lang w:val="uk-UA"/>
        </w:rPr>
        <w:t>проєктів</w:t>
      </w:r>
      <w:proofErr w:type="spellEnd"/>
      <w:r>
        <w:rPr>
          <w:rFonts w:ascii="Times New Roman" w:eastAsia="Times New Roman" w:hAnsi="Times New Roman" w:cs="Times New Roman"/>
          <w:sz w:val="28"/>
          <w:szCs w:val="28"/>
          <w:lang w:val="uk-UA"/>
        </w:rPr>
        <w:t>;</w:t>
      </w:r>
    </w:p>
    <w:p w:rsidR="00DF46EA" w:rsidRDefault="00DF46EA" w:rsidP="00DD7442">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навчання молодих людей </w:t>
      </w:r>
      <w:proofErr w:type="spellStart"/>
      <w:r>
        <w:rPr>
          <w:rFonts w:ascii="Times New Roman" w:eastAsia="Times New Roman" w:hAnsi="Times New Roman" w:cs="Times New Roman"/>
          <w:sz w:val="28"/>
          <w:szCs w:val="28"/>
          <w:lang w:val="uk-UA"/>
        </w:rPr>
        <w:t>проєктному</w:t>
      </w:r>
      <w:proofErr w:type="spellEnd"/>
      <w:r>
        <w:rPr>
          <w:rFonts w:ascii="Times New Roman" w:eastAsia="Times New Roman" w:hAnsi="Times New Roman" w:cs="Times New Roman"/>
          <w:sz w:val="28"/>
          <w:szCs w:val="28"/>
          <w:lang w:val="uk-UA"/>
        </w:rPr>
        <w:t xml:space="preserve"> менеджменту з акцентом на специфіці підготовки </w:t>
      </w:r>
      <w:proofErr w:type="spellStart"/>
      <w:r>
        <w:rPr>
          <w:rFonts w:ascii="Times New Roman" w:eastAsia="Times New Roman" w:hAnsi="Times New Roman" w:cs="Times New Roman"/>
          <w:sz w:val="28"/>
          <w:szCs w:val="28"/>
          <w:lang w:val="uk-UA"/>
        </w:rPr>
        <w:t>проєктів</w:t>
      </w:r>
      <w:proofErr w:type="spellEnd"/>
      <w:r>
        <w:rPr>
          <w:rFonts w:ascii="Times New Roman" w:eastAsia="Times New Roman" w:hAnsi="Times New Roman" w:cs="Times New Roman"/>
          <w:sz w:val="28"/>
          <w:szCs w:val="28"/>
          <w:lang w:val="uk-UA"/>
        </w:rPr>
        <w:t xml:space="preserve"> за актуальним для області тематичним напрямком;</w:t>
      </w:r>
    </w:p>
    <w:p w:rsidR="00DF46EA" w:rsidRPr="00CF080E" w:rsidRDefault="00DF46EA" w:rsidP="00DD7442">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створення платформи для пошуку та встановлення </w:t>
      </w:r>
      <w:proofErr w:type="spellStart"/>
      <w:r>
        <w:rPr>
          <w:rFonts w:ascii="Times New Roman" w:eastAsia="Times New Roman" w:hAnsi="Times New Roman" w:cs="Times New Roman"/>
          <w:sz w:val="28"/>
          <w:szCs w:val="28"/>
          <w:lang w:val="uk-UA"/>
        </w:rPr>
        <w:t>партнерств</w:t>
      </w:r>
      <w:proofErr w:type="spellEnd"/>
      <w:r>
        <w:rPr>
          <w:rFonts w:ascii="Times New Roman" w:eastAsia="Times New Roman" w:hAnsi="Times New Roman" w:cs="Times New Roman"/>
          <w:sz w:val="28"/>
          <w:szCs w:val="28"/>
          <w:lang w:val="uk-UA"/>
        </w:rPr>
        <w:t xml:space="preserve"> для  інститутів громадянського суспільства.</w:t>
      </w:r>
    </w:p>
    <w:p w:rsidR="00DF46EA" w:rsidRPr="00DF46EA" w:rsidRDefault="00DF46EA" w:rsidP="00E52234">
      <w:pPr>
        <w:ind w:firstLine="539"/>
        <w:rPr>
          <w:sz w:val="28"/>
          <w:szCs w:val="28"/>
        </w:rPr>
      </w:pPr>
    </w:p>
    <w:p w:rsidR="00457B46" w:rsidRDefault="00457B46" w:rsidP="00E52234">
      <w:pPr>
        <w:ind w:firstLine="539"/>
        <w:rPr>
          <w:b/>
          <w:sz w:val="28"/>
          <w:szCs w:val="28"/>
        </w:rPr>
      </w:pPr>
      <w:r w:rsidRPr="00457B46">
        <w:rPr>
          <w:b/>
          <w:sz w:val="28"/>
          <w:szCs w:val="28"/>
        </w:rPr>
        <w:t>Завдання 5. Розвиток стійкості, безпечного середовища та психоемоційного благополуччя молоді.</w:t>
      </w:r>
    </w:p>
    <w:p w:rsidR="00457B46" w:rsidRPr="00457B46" w:rsidRDefault="00457B46" w:rsidP="00E52234">
      <w:pPr>
        <w:ind w:firstLine="539"/>
        <w:rPr>
          <w:i/>
          <w:sz w:val="28"/>
          <w:szCs w:val="28"/>
        </w:rPr>
      </w:pPr>
      <w:r w:rsidRPr="00457B46">
        <w:rPr>
          <w:i/>
          <w:sz w:val="28"/>
          <w:szCs w:val="28"/>
        </w:rPr>
        <w:t>Захід 1.</w:t>
      </w:r>
      <w:r>
        <w:rPr>
          <w:i/>
          <w:sz w:val="28"/>
          <w:szCs w:val="28"/>
        </w:rPr>
        <w:t xml:space="preserve"> Проведення заходів із запобігання дискримінації , насильству та соціально ризикованій поведінці серед молоді, популяризація здорового та безпечного способу життя.</w:t>
      </w:r>
    </w:p>
    <w:p w:rsidR="00457B46" w:rsidRDefault="00457B46" w:rsidP="00E52234">
      <w:pPr>
        <w:ind w:firstLine="539"/>
        <w:rPr>
          <w:i/>
          <w:sz w:val="28"/>
          <w:szCs w:val="28"/>
        </w:rPr>
      </w:pPr>
      <w:r w:rsidRPr="00457B46">
        <w:rPr>
          <w:i/>
          <w:sz w:val="28"/>
          <w:szCs w:val="28"/>
        </w:rPr>
        <w:t>Захід 2.</w:t>
      </w:r>
      <w:r>
        <w:rPr>
          <w:i/>
          <w:sz w:val="28"/>
          <w:szCs w:val="28"/>
        </w:rPr>
        <w:t xml:space="preserve"> Підвищення кваліфікації молодіжних працівників і фахівців щодо формування психоемоційної стійкості та життєвих навичок молоді.</w:t>
      </w:r>
    </w:p>
    <w:p w:rsidR="00DD7442" w:rsidRPr="00DD7442" w:rsidRDefault="00DD7442" w:rsidP="00DD7442">
      <w:pPr>
        <w:pStyle w:val="a9"/>
        <w:spacing w:line="240" w:lineRule="auto"/>
        <w:ind w:left="927"/>
        <w:jc w:val="both"/>
        <w:rPr>
          <w:rFonts w:ascii="Times New Roman" w:eastAsia="Times New Roman" w:hAnsi="Times New Roman" w:cs="Times New Roman"/>
          <w:sz w:val="28"/>
          <w:szCs w:val="28"/>
          <w:lang w:val="uk-UA"/>
        </w:rPr>
      </w:pPr>
      <w:r w:rsidRPr="00DD7442">
        <w:rPr>
          <w:rFonts w:ascii="Times New Roman" w:eastAsia="Times New Roman" w:hAnsi="Times New Roman" w:cs="Times New Roman"/>
          <w:b/>
          <w:i/>
          <w:iCs/>
          <w:sz w:val="28"/>
          <w:szCs w:val="28"/>
          <w:u w:val="single"/>
          <w:lang w:val="uk-UA" w:eastAsia="ru-RU"/>
        </w:rPr>
        <w:t>Викон</w:t>
      </w:r>
      <w:r>
        <w:rPr>
          <w:rFonts w:ascii="Times New Roman" w:eastAsia="Times New Roman" w:hAnsi="Times New Roman" w:cs="Times New Roman"/>
          <w:b/>
          <w:i/>
          <w:iCs/>
          <w:sz w:val="28"/>
          <w:szCs w:val="28"/>
          <w:u w:val="single"/>
          <w:lang w:val="uk-UA" w:eastAsia="ru-RU"/>
        </w:rPr>
        <w:t>ання завдання 5</w:t>
      </w:r>
      <w:r w:rsidRPr="00DD7442">
        <w:rPr>
          <w:rFonts w:ascii="Times New Roman" w:eastAsia="Times New Roman" w:hAnsi="Times New Roman" w:cs="Times New Roman"/>
          <w:b/>
          <w:i/>
          <w:iCs/>
          <w:sz w:val="28"/>
          <w:szCs w:val="28"/>
          <w:u w:val="single"/>
          <w:lang w:val="uk-UA" w:eastAsia="ru-RU"/>
        </w:rPr>
        <w:t xml:space="preserve"> забезпечить:</w:t>
      </w:r>
    </w:p>
    <w:p w:rsidR="00DF46EA" w:rsidRDefault="00DD7442" w:rsidP="00DD7442">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ф</w:t>
      </w:r>
      <w:r w:rsidR="00DF46EA">
        <w:rPr>
          <w:rFonts w:ascii="Times New Roman" w:eastAsia="Times New Roman" w:hAnsi="Times New Roman" w:cs="Times New Roman"/>
          <w:sz w:val="28"/>
          <w:szCs w:val="28"/>
          <w:lang w:val="uk-UA"/>
        </w:rPr>
        <w:t>ормування статусу психологічної підтримки як нормального факту турботи про себе (</w:t>
      </w:r>
      <w:proofErr w:type="spellStart"/>
      <w:r w:rsidR="00DF46EA">
        <w:rPr>
          <w:rFonts w:ascii="Times New Roman" w:eastAsia="Times New Roman" w:hAnsi="Times New Roman" w:cs="Times New Roman"/>
          <w:sz w:val="28"/>
          <w:szCs w:val="28"/>
          <w:lang w:val="uk-UA"/>
        </w:rPr>
        <w:t>дестигматизація</w:t>
      </w:r>
      <w:proofErr w:type="spellEnd"/>
      <w:r w:rsidR="00DF46EA">
        <w:rPr>
          <w:rFonts w:ascii="Times New Roman" w:eastAsia="Times New Roman" w:hAnsi="Times New Roman" w:cs="Times New Roman"/>
          <w:sz w:val="28"/>
          <w:szCs w:val="28"/>
          <w:lang w:val="uk-UA"/>
        </w:rPr>
        <w:t>);</w:t>
      </w:r>
    </w:p>
    <w:p w:rsidR="00DF46EA" w:rsidRDefault="00DD7442"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w:t>
      </w:r>
      <w:r w:rsidR="00DF46EA">
        <w:rPr>
          <w:rFonts w:ascii="Times New Roman" w:eastAsia="Times New Roman" w:hAnsi="Times New Roman" w:cs="Times New Roman"/>
          <w:sz w:val="28"/>
          <w:szCs w:val="28"/>
          <w:lang w:val="uk-UA"/>
        </w:rPr>
        <w:t>абезпечення безпечного просторів для отримання психологічної та психосоціальної підтримки, адаптованої до потреб молоді, зокрема за принципом рівний-рівному (</w:t>
      </w:r>
      <w:r w:rsidR="00DF46EA">
        <w:rPr>
          <w:rFonts w:ascii="Times New Roman" w:eastAsia="Times New Roman" w:hAnsi="Times New Roman" w:cs="Times New Roman"/>
          <w:sz w:val="28"/>
          <w:szCs w:val="28"/>
          <w:lang w:val="en-US"/>
        </w:rPr>
        <w:t>peer-to-peer)</w:t>
      </w:r>
      <w:r w:rsidR="00DF46EA">
        <w:rPr>
          <w:rFonts w:ascii="Times New Roman" w:eastAsia="Times New Roman" w:hAnsi="Times New Roman" w:cs="Times New Roman"/>
          <w:sz w:val="28"/>
          <w:szCs w:val="28"/>
          <w:lang w:val="uk-UA"/>
        </w:rPr>
        <w:t>;</w:t>
      </w:r>
    </w:p>
    <w:p w:rsidR="00DF46EA" w:rsidRDefault="00DF46EA"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A47E84">
        <w:rPr>
          <w:rFonts w:ascii="Times New Roman" w:eastAsia="Times New Roman" w:hAnsi="Times New Roman" w:cs="Times New Roman"/>
          <w:sz w:val="28"/>
          <w:szCs w:val="28"/>
          <w:lang w:val="uk-UA"/>
        </w:rPr>
        <w:t>сприянн</w:t>
      </w:r>
      <w:r>
        <w:rPr>
          <w:rFonts w:ascii="Times New Roman" w:eastAsia="Times New Roman" w:hAnsi="Times New Roman" w:cs="Times New Roman"/>
          <w:sz w:val="28"/>
          <w:szCs w:val="28"/>
          <w:lang w:val="uk-UA"/>
        </w:rPr>
        <w:t>і</w:t>
      </w:r>
      <w:r w:rsidRPr="00A47E84">
        <w:rPr>
          <w:rFonts w:ascii="Times New Roman" w:eastAsia="Times New Roman" w:hAnsi="Times New Roman" w:cs="Times New Roman"/>
          <w:sz w:val="28"/>
          <w:szCs w:val="28"/>
          <w:lang w:val="uk-UA"/>
        </w:rPr>
        <w:t xml:space="preserve"> інтеграції ветеранів</w:t>
      </w:r>
      <w:r>
        <w:rPr>
          <w:rFonts w:ascii="Times New Roman" w:eastAsia="Times New Roman" w:hAnsi="Times New Roman" w:cs="Times New Roman"/>
          <w:sz w:val="28"/>
          <w:szCs w:val="28"/>
          <w:lang w:val="uk-UA"/>
        </w:rPr>
        <w:t xml:space="preserve"> через </w:t>
      </w:r>
      <w:r w:rsidRPr="00A47E84">
        <w:rPr>
          <w:rFonts w:ascii="Times New Roman" w:eastAsia="Times New Roman" w:hAnsi="Times New Roman" w:cs="Times New Roman"/>
          <w:sz w:val="28"/>
          <w:szCs w:val="28"/>
          <w:lang w:val="uk-UA"/>
        </w:rPr>
        <w:t>програми підготовки молоді та суспільства до їх повернення (освіта щодо ПТСР) та просува</w:t>
      </w:r>
      <w:r>
        <w:rPr>
          <w:rFonts w:ascii="Times New Roman" w:eastAsia="Times New Roman" w:hAnsi="Times New Roman" w:cs="Times New Roman"/>
          <w:sz w:val="28"/>
          <w:szCs w:val="28"/>
          <w:lang w:val="uk-UA"/>
        </w:rPr>
        <w:t>ння</w:t>
      </w:r>
      <w:r w:rsidRPr="00A47E84">
        <w:rPr>
          <w:rFonts w:ascii="Times New Roman" w:eastAsia="Times New Roman" w:hAnsi="Times New Roman" w:cs="Times New Roman"/>
          <w:sz w:val="28"/>
          <w:szCs w:val="28"/>
          <w:lang w:val="uk-UA"/>
        </w:rPr>
        <w:t xml:space="preserve"> ініціатив, де ветерани працюють з молоддю як інструктори та наставники</w:t>
      </w:r>
      <w:r>
        <w:rPr>
          <w:rFonts w:ascii="Times New Roman" w:eastAsia="Times New Roman" w:hAnsi="Times New Roman" w:cs="Times New Roman"/>
          <w:sz w:val="28"/>
          <w:szCs w:val="28"/>
          <w:lang w:val="uk-UA"/>
        </w:rPr>
        <w:t>;</w:t>
      </w:r>
    </w:p>
    <w:p w:rsidR="00E52234" w:rsidRPr="00DF46EA" w:rsidRDefault="00DF46EA"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6E3D27">
        <w:rPr>
          <w:rFonts w:ascii="Times New Roman" w:eastAsia="Times New Roman" w:hAnsi="Times New Roman" w:cs="Times New Roman"/>
          <w:sz w:val="28"/>
          <w:szCs w:val="28"/>
          <w:lang w:val="uk-UA"/>
        </w:rPr>
        <w:t xml:space="preserve">розвиток м’яких навичок молоді, </w:t>
      </w:r>
      <w:r>
        <w:rPr>
          <w:rFonts w:ascii="Times New Roman" w:eastAsia="Times New Roman" w:hAnsi="Times New Roman" w:cs="Times New Roman"/>
          <w:sz w:val="28"/>
          <w:szCs w:val="28"/>
          <w:lang w:val="uk-UA"/>
        </w:rPr>
        <w:t>що дозволяють ефективно реагувати на виклики сьогодення</w:t>
      </w:r>
      <w:r w:rsidRPr="006E3D27">
        <w:rPr>
          <w:rFonts w:ascii="Times New Roman" w:eastAsia="Times New Roman" w:hAnsi="Times New Roman" w:cs="Times New Roman"/>
          <w:sz w:val="28"/>
          <w:szCs w:val="28"/>
          <w:lang w:val="uk-UA"/>
        </w:rPr>
        <w:t xml:space="preserve"> (розмаїтість культур та </w:t>
      </w:r>
      <w:proofErr w:type="spellStart"/>
      <w:r w:rsidRPr="006E3D27">
        <w:rPr>
          <w:rFonts w:ascii="Times New Roman" w:eastAsia="Times New Roman" w:hAnsi="Times New Roman" w:cs="Times New Roman"/>
          <w:sz w:val="28"/>
          <w:szCs w:val="28"/>
          <w:lang w:val="uk-UA"/>
        </w:rPr>
        <w:t>менталітетів</w:t>
      </w:r>
      <w:proofErr w:type="spellEnd"/>
      <w:r w:rsidRPr="006E3D27">
        <w:rPr>
          <w:rFonts w:ascii="Times New Roman" w:eastAsia="Times New Roman" w:hAnsi="Times New Roman" w:cs="Times New Roman"/>
          <w:sz w:val="28"/>
          <w:szCs w:val="28"/>
          <w:lang w:val="uk-UA"/>
        </w:rPr>
        <w:t>, збільшення кількості осіб, що мають психологічні та фізичні травми,  повернення ветеранів, тощо).</w:t>
      </w:r>
    </w:p>
    <w:p w:rsidR="00E52234" w:rsidRDefault="00E52234" w:rsidP="00E52234">
      <w:pPr>
        <w:rPr>
          <w:sz w:val="28"/>
          <w:szCs w:val="28"/>
        </w:rPr>
      </w:pPr>
    </w:p>
    <w:p w:rsidR="00E52234" w:rsidRPr="008B5B67" w:rsidRDefault="00E52234" w:rsidP="00E52234">
      <w:pPr>
        <w:jc w:val="center"/>
        <w:rPr>
          <w:b/>
          <w:bCs/>
          <w:sz w:val="28"/>
          <w:szCs w:val="28"/>
        </w:rPr>
      </w:pPr>
      <w:r w:rsidRPr="008B5B67">
        <w:rPr>
          <w:b/>
          <w:bCs/>
          <w:sz w:val="28"/>
          <w:szCs w:val="28"/>
        </w:rPr>
        <w:t>Очікувані результати та ефективність програми</w:t>
      </w:r>
    </w:p>
    <w:p w:rsidR="00E52234" w:rsidRDefault="00E52234" w:rsidP="00E52234">
      <w:pPr>
        <w:ind w:firstLine="709"/>
        <w:rPr>
          <w:sz w:val="28"/>
          <w:szCs w:val="28"/>
        </w:rPr>
      </w:pPr>
      <w:r>
        <w:rPr>
          <w:sz w:val="28"/>
          <w:szCs w:val="28"/>
        </w:rPr>
        <w:t>Очікуваними результатами виконання Програми є:</w:t>
      </w:r>
    </w:p>
    <w:p w:rsidR="001E3E99" w:rsidRPr="001E3E99" w:rsidRDefault="00E52234" w:rsidP="001E3E99">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збільшення кількості молодих людей, що беруть участь в процесах прийняття рішень;</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підвищення рівня знань та навиків молоді з питань </w:t>
      </w:r>
      <w:proofErr w:type="spellStart"/>
      <w:r>
        <w:rPr>
          <w:rFonts w:ascii="Times New Roman" w:eastAsia="Times New Roman" w:hAnsi="Times New Roman" w:cs="Times New Roman"/>
          <w:sz w:val="28"/>
          <w:szCs w:val="28"/>
          <w:lang w:val="uk-UA"/>
        </w:rPr>
        <w:t>проєктного</w:t>
      </w:r>
      <w:proofErr w:type="spellEnd"/>
      <w:r>
        <w:rPr>
          <w:rFonts w:ascii="Times New Roman" w:eastAsia="Times New Roman" w:hAnsi="Times New Roman" w:cs="Times New Roman"/>
          <w:sz w:val="28"/>
          <w:szCs w:val="28"/>
          <w:lang w:val="uk-UA"/>
        </w:rPr>
        <w:t xml:space="preserve"> менеджменту, фінансової грамотності, ефективної комунікації;</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зменшення розриву між кар’єрними очікуваннями молоді та запитами ринку праці та підвищення рівня професійної орієнтації;</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підвищення рівня соціальної згуртованості в області, зокрема зміцнення зав’язків між різним соціальними групами, жителями міст та сіл;</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 xml:space="preserve">підвищення кількості та якості </w:t>
      </w:r>
      <w:proofErr w:type="spellStart"/>
      <w:r>
        <w:rPr>
          <w:rFonts w:ascii="Times New Roman" w:eastAsia="Times New Roman" w:hAnsi="Times New Roman" w:cs="Times New Roman"/>
          <w:sz w:val="28"/>
          <w:szCs w:val="28"/>
          <w:lang w:val="uk-UA"/>
        </w:rPr>
        <w:t>проєктів</w:t>
      </w:r>
      <w:proofErr w:type="spellEnd"/>
      <w:r>
        <w:rPr>
          <w:rFonts w:ascii="Times New Roman" w:eastAsia="Times New Roman" w:hAnsi="Times New Roman" w:cs="Times New Roman"/>
          <w:sz w:val="28"/>
          <w:szCs w:val="28"/>
          <w:lang w:val="uk-UA"/>
        </w:rPr>
        <w:t xml:space="preserve">, поданих молоддю на конкурс </w:t>
      </w:r>
      <w:proofErr w:type="spellStart"/>
      <w:r>
        <w:rPr>
          <w:rFonts w:ascii="Times New Roman" w:eastAsia="Times New Roman" w:hAnsi="Times New Roman" w:cs="Times New Roman"/>
          <w:sz w:val="28"/>
          <w:szCs w:val="28"/>
          <w:lang w:val="uk-UA"/>
        </w:rPr>
        <w:t>проєктів</w:t>
      </w:r>
      <w:proofErr w:type="spellEnd"/>
      <w:r>
        <w:rPr>
          <w:rFonts w:ascii="Times New Roman" w:eastAsia="Times New Roman" w:hAnsi="Times New Roman" w:cs="Times New Roman"/>
          <w:sz w:val="28"/>
          <w:szCs w:val="28"/>
          <w:lang w:val="uk-UA"/>
        </w:rPr>
        <w:t xml:space="preserve"> для інститутів громадянського суспільства;</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підвищення чисельності молоді із сформованим відповідальним ставленням до власного здоров’я та  розвинутим рівнем культури турботи про себе;</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покращення психоемоційного стану молоді, зменшення рівня соціально-деструктивних явищ;</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розвиток існуючих та створення нових об’єктів молодіжної інфраструктури;</w:t>
      </w:r>
    </w:p>
    <w:p w:rsidR="000F64D7" w:rsidRPr="001E3E99" w:rsidRDefault="000F64D7"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1E3E99">
        <w:rPr>
          <w:rFonts w:ascii="Times New Roman" w:eastAsia="Times New Roman" w:hAnsi="Times New Roman" w:cs="Times New Roman"/>
          <w:sz w:val="28"/>
          <w:szCs w:val="28"/>
          <w:lang w:val="uk-UA"/>
        </w:rPr>
        <w:t>створення молодіжних інституцій у кожній громаді;</w:t>
      </w:r>
    </w:p>
    <w:p w:rsidR="000F64D7" w:rsidRPr="001E3E99" w:rsidRDefault="001E3E99"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sidRPr="001E3E99">
        <w:rPr>
          <w:rFonts w:ascii="Times New Roman" w:eastAsia="Times New Roman" w:hAnsi="Times New Roman" w:cs="Times New Roman"/>
          <w:sz w:val="28"/>
          <w:szCs w:val="28"/>
          <w:lang w:val="uk-UA"/>
        </w:rPr>
        <w:t>визначення</w:t>
      </w:r>
      <w:r w:rsidR="000F64D7" w:rsidRPr="001E3E99">
        <w:rPr>
          <w:rFonts w:ascii="Times New Roman" w:eastAsia="Times New Roman" w:hAnsi="Times New Roman" w:cs="Times New Roman"/>
          <w:sz w:val="28"/>
          <w:szCs w:val="28"/>
          <w:lang w:val="uk-UA"/>
        </w:rPr>
        <w:t xml:space="preserve"> відповідальної особи за молодіжну політику у кожній громаді;</w:t>
      </w:r>
    </w:p>
    <w:p w:rsidR="00E52234" w:rsidRDefault="00E52234" w:rsidP="00DF46EA">
      <w:pPr>
        <w:pStyle w:val="a9"/>
        <w:numPr>
          <w:ilvl w:val="0"/>
          <w:numId w:val="3"/>
        </w:numPr>
        <w:spacing w:line="240" w:lineRule="auto"/>
        <w:ind w:left="0" w:firstLine="567"/>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підвищення рівня </w:t>
      </w:r>
      <w:r w:rsidRPr="00E1541B">
        <w:rPr>
          <w:rFonts w:ascii="Times New Roman" w:eastAsia="Times New Roman" w:hAnsi="Times New Roman" w:cs="Times New Roman"/>
          <w:sz w:val="28"/>
          <w:szCs w:val="28"/>
          <w:lang w:val="uk-UA"/>
        </w:rPr>
        <w:t>української національної та громадянської ідентичності</w:t>
      </w:r>
      <w:r>
        <w:rPr>
          <w:rFonts w:ascii="Times New Roman" w:eastAsia="Times New Roman" w:hAnsi="Times New Roman" w:cs="Times New Roman"/>
          <w:sz w:val="28"/>
          <w:szCs w:val="28"/>
          <w:lang w:val="uk-UA"/>
        </w:rPr>
        <w:t>.</w:t>
      </w:r>
    </w:p>
    <w:p w:rsidR="00E52234" w:rsidRDefault="00E52234" w:rsidP="00E52234">
      <w:pPr>
        <w:pStyle w:val="a9"/>
        <w:spacing w:line="240" w:lineRule="auto"/>
        <w:ind w:left="927"/>
        <w:jc w:val="center"/>
        <w:rPr>
          <w:rFonts w:ascii="Times New Roman" w:eastAsia="Times New Roman" w:hAnsi="Times New Roman" w:cs="Times New Roman"/>
          <w:b/>
          <w:bCs/>
          <w:color w:val="000000"/>
          <w:sz w:val="28"/>
          <w:szCs w:val="28"/>
          <w:lang w:val="uk-UA"/>
        </w:rPr>
      </w:pPr>
    </w:p>
    <w:p w:rsidR="00E52234" w:rsidRPr="006E3D27" w:rsidRDefault="00E52234" w:rsidP="00E52234">
      <w:pPr>
        <w:pStyle w:val="a9"/>
        <w:spacing w:line="240" w:lineRule="auto"/>
        <w:ind w:left="0"/>
        <w:jc w:val="center"/>
        <w:rPr>
          <w:rFonts w:ascii="Times New Roman" w:eastAsia="Times New Roman" w:hAnsi="Times New Roman" w:cs="Times New Roman"/>
          <w:sz w:val="24"/>
          <w:szCs w:val="24"/>
          <w:lang w:val="uk-UA"/>
        </w:rPr>
      </w:pPr>
      <w:r w:rsidRPr="006E3D27">
        <w:rPr>
          <w:rFonts w:ascii="Times New Roman" w:eastAsia="Times New Roman" w:hAnsi="Times New Roman" w:cs="Times New Roman"/>
          <w:b/>
          <w:bCs/>
          <w:color w:val="000000"/>
          <w:sz w:val="28"/>
          <w:szCs w:val="28"/>
          <w:lang w:val="uk-UA"/>
        </w:rPr>
        <w:t>Шляхи і засоби розв’язання проблеми</w:t>
      </w:r>
    </w:p>
    <w:p w:rsidR="00E52234" w:rsidRDefault="00E52234" w:rsidP="00E52234">
      <w:pPr>
        <w:ind w:firstLine="709"/>
        <w:rPr>
          <w:sz w:val="24"/>
          <w:szCs w:val="24"/>
        </w:rPr>
      </w:pPr>
      <w:r w:rsidRPr="006E3D27">
        <w:rPr>
          <w:color w:val="000000"/>
          <w:sz w:val="28"/>
          <w:szCs w:val="28"/>
        </w:rPr>
        <w:t>Процес реалізації Програми передбачає здійснення комплексу експертно-аналітичних, організаційних, нормативно-правових, пілотних, впроваджувальних і підсумкових оціночних заходів.</w:t>
      </w:r>
    </w:p>
    <w:p w:rsidR="00E52234" w:rsidRDefault="00E52234" w:rsidP="00E52234">
      <w:pPr>
        <w:ind w:firstLine="709"/>
        <w:rPr>
          <w:sz w:val="24"/>
          <w:szCs w:val="24"/>
        </w:rPr>
      </w:pPr>
      <w:r w:rsidRPr="00120819">
        <w:rPr>
          <w:color w:val="000000"/>
          <w:sz w:val="28"/>
          <w:szCs w:val="28"/>
        </w:rPr>
        <w:t xml:space="preserve">Реалізація заходів Програми відбуватиметься за сприяння структурних підрозділів обласної </w:t>
      </w:r>
      <w:r>
        <w:rPr>
          <w:color w:val="000000"/>
          <w:sz w:val="28"/>
          <w:szCs w:val="28"/>
        </w:rPr>
        <w:t>військової</w:t>
      </w:r>
      <w:r w:rsidRPr="00120819">
        <w:rPr>
          <w:color w:val="000000"/>
          <w:sz w:val="28"/>
          <w:szCs w:val="28"/>
        </w:rPr>
        <w:t xml:space="preserve"> адміністрації, профільної комісії Львівської обласної ради,</w:t>
      </w:r>
      <w:r w:rsidR="00F36872">
        <w:rPr>
          <w:color w:val="000000"/>
          <w:sz w:val="28"/>
          <w:szCs w:val="28"/>
        </w:rPr>
        <w:t xml:space="preserve"> молодіжної ради при Львівській ОДА,</w:t>
      </w:r>
      <w:r w:rsidRPr="00120819">
        <w:rPr>
          <w:color w:val="000000"/>
          <w:sz w:val="28"/>
          <w:szCs w:val="28"/>
        </w:rPr>
        <w:t xml:space="preserve"> громадських об’єднань, інших інститутів громадянського суспільства області</w:t>
      </w:r>
      <w:r>
        <w:rPr>
          <w:color w:val="000000"/>
          <w:sz w:val="28"/>
          <w:szCs w:val="28"/>
        </w:rPr>
        <w:t xml:space="preserve"> із широким залученням молоді</w:t>
      </w:r>
      <w:r>
        <w:rPr>
          <w:sz w:val="24"/>
          <w:szCs w:val="24"/>
        </w:rPr>
        <w:t>.</w:t>
      </w:r>
    </w:p>
    <w:p w:rsidR="00E52234" w:rsidRPr="00120819" w:rsidRDefault="00E52234" w:rsidP="00E52234">
      <w:pPr>
        <w:ind w:firstLine="709"/>
        <w:rPr>
          <w:sz w:val="24"/>
          <w:szCs w:val="24"/>
        </w:rPr>
      </w:pPr>
      <w:r w:rsidRPr="00120819">
        <w:rPr>
          <w:color w:val="000000"/>
          <w:sz w:val="28"/>
          <w:szCs w:val="28"/>
        </w:rPr>
        <w:t>Крім цього, реалізація молодіжної політики у Львівській області передбачає консолідовану співпрацю органів державної влади і органів місцевого самоврядування в партнерстві з інститутами громадянського суспільства, установами і закладами та фахівцями, що працюють з молоддю, молодіжними центрами, молодіжними працівниками, молодіжними консультативно-дорадчими органами, органами учнівського та студентського самоврядування, міжнародними організаціями, представниками роботодавців, бізнес-сектору та узгодженості їх дій щодо виконання обласної та місцевих молодіжних програм, що забезпечить здійснення багаторівневого управління в молодіжній сфері та ефективне виконання завдань на всеукраїнському, регіональному та місцевому рівнях.</w:t>
      </w:r>
    </w:p>
    <w:p w:rsidR="00E52234" w:rsidRPr="006E3D27" w:rsidRDefault="00E52234" w:rsidP="00E52234">
      <w:pPr>
        <w:pStyle w:val="a9"/>
        <w:spacing w:line="240" w:lineRule="auto"/>
        <w:ind w:left="927"/>
        <w:rPr>
          <w:rFonts w:ascii="Times New Roman" w:eastAsia="Times New Roman" w:hAnsi="Times New Roman" w:cs="Times New Roman"/>
          <w:sz w:val="24"/>
          <w:szCs w:val="24"/>
          <w:lang w:val="uk-UA"/>
        </w:rPr>
      </w:pPr>
    </w:p>
    <w:p w:rsidR="00E52234" w:rsidRPr="006E3D27" w:rsidRDefault="00E52234" w:rsidP="00E52234">
      <w:pPr>
        <w:pStyle w:val="a9"/>
        <w:spacing w:line="240" w:lineRule="auto"/>
        <w:ind w:left="0"/>
        <w:jc w:val="center"/>
        <w:rPr>
          <w:rFonts w:ascii="Times New Roman" w:eastAsia="Times New Roman" w:hAnsi="Times New Roman" w:cs="Times New Roman"/>
          <w:sz w:val="24"/>
          <w:szCs w:val="24"/>
          <w:lang w:val="uk-UA"/>
        </w:rPr>
      </w:pPr>
      <w:r w:rsidRPr="006E3D27">
        <w:rPr>
          <w:rFonts w:ascii="Times New Roman" w:eastAsia="Times New Roman" w:hAnsi="Times New Roman" w:cs="Times New Roman"/>
          <w:b/>
          <w:bCs/>
          <w:color w:val="000000"/>
          <w:sz w:val="28"/>
          <w:szCs w:val="28"/>
          <w:lang w:val="uk-UA"/>
        </w:rPr>
        <w:t>Обсяги та джерела фінансування</w:t>
      </w:r>
    </w:p>
    <w:p w:rsidR="00E52234" w:rsidRDefault="00E52234" w:rsidP="00E52234">
      <w:pPr>
        <w:ind w:firstLine="709"/>
        <w:rPr>
          <w:sz w:val="24"/>
          <w:szCs w:val="24"/>
        </w:rPr>
      </w:pPr>
      <w:r w:rsidRPr="00120819">
        <w:rPr>
          <w:color w:val="000000"/>
          <w:sz w:val="28"/>
          <w:szCs w:val="28"/>
        </w:rPr>
        <w:t>Фінансування заходів Програми здійснюється за рахунок коштів обласного бюджету. </w:t>
      </w:r>
    </w:p>
    <w:p w:rsidR="00E52234" w:rsidRDefault="00E52234" w:rsidP="00E52234">
      <w:pPr>
        <w:ind w:firstLine="709"/>
        <w:rPr>
          <w:sz w:val="24"/>
          <w:szCs w:val="24"/>
        </w:rPr>
      </w:pPr>
      <w:r w:rsidRPr="00120819">
        <w:rPr>
          <w:color w:val="000000"/>
          <w:sz w:val="28"/>
          <w:szCs w:val="28"/>
        </w:rPr>
        <w:t>Також в</w:t>
      </w:r>
      <w:r w:rsidRPr="00120819">
        <w:rPr>
          <w:color w:val="000000"/>
          <w:sz w:val="28"/>
          <w:szCs w:val="28"/>
          <w:shd w:val="clear" w:color="auto" w:fill="FFFFFF"/>
        </w:rPr>
        <w:t xml:space="preserve">идатки на виконання </w:t>
      </w:r>
      <w:r>
        <w:rPr>
          <w:color w:val="000000"/>
          <w:sz w:val="28"/>
          <w:szCs w:val="28"/>
          <w:shd w:val="clear" w:color="auto" w:fill="FFFFFF"/>
        </w:rPr>
        <w:t>пріоритетів</w:t>
      </w:r>
      <w:r w:rsidRPr="00120819">
        <w:rPr>
          <w:color w:val="000000"/>
          <w:sz w:val="28"/>
          <w:szCs w:val="28"/>
          <w:shd w:val="clear" w:color="auto" w:fill="FFFFFF"/>
        </w:rPr>
        <w:t xml:space="preserve"> та завдань Програми </w:t>
      </w:r>
      <w:r w:rsidR="00BA5E0C" w:rsidRPr="001E3E99">
        <w:rPr>
          <w:color w:val="000000"/>
          <w:sz w:val="28"/>
          <w:szCs w:val="28"/>
          <w:shd w:val="clear" w:color="auto" w:fill="FFFFFF"/>
        </w:rPr>
        <w:t>можуть здійснюватися</w:t>
      </w:r>
      <w:r w:rsidRPr="00120819">
        <w:rPr>
          <w:color w:val="000000"/>
          <w:sz w:val="28"/>
          <w:szCs w:val="28"/>
          <w:shd w:val="clear" w:color="auto" w:fill="FFFFFF"/>
        </w:rPr>
        <w:t xml:space="preserve"> за рахунок коштів державного і місцевих бюджетів та інших, не заборонених законодавством джерел.</w:t>
      </w:r>
    </w:p>
    <w:p w:rsidR="00E52234" w:rsidRPr="006E3D27" w:rsidRDefault="00E52234" w:rsidP="00E52234">
      <w:pPr>
        <w:pStyle w:val="a9"/>
        <w:spacing w:line="240" w:lineRule="auto"/>
        <w:ind w:left="927"/>
        <w:rPr>
          <w:rFonts w:ascii="Times New Roman" w:eastAsia="Times New Roman" w:hAnsi="Times New Roman" w:cs="Times New Roman"/>
          <w:sz w:val="24"/>
          <w:szCs w:val="24"/>
          <w:lang w:val="uk-UA"/>
        </w:rPr>
      </w:pPr>
    </w:p>
    <w:p w:rsidR="00E52234" w:rsidRPr="00120819" w:rsidRDefault="00E52234" w:rsidP="00E52234">
      <w:pPr>
        <w:jc w:val="center"/>
        <w:rPr>
          <w:sz w:val="24"/>
          <w:szCs w:val="24"/>
        </w:rPr>
      </w:pPr>
      <w:r w:rsidRPr="00120819">
        <w:rPr>
          <w:b/>
          <w:bCs/>
          <w:color w:val="000000"/>
          <w:sz w:val="28"/>
          <w:szCs w:val="28"/>
        </w:rPr>
        <w:t>Строки та етапи виконання Програми</w:t>
      </w:r>
    </w:p>
    <w:p w:rsidR="00E52234" w:rsidRDefault="00E52234" w:rsidP="00E52234">
      <w:pPr>
        <w:ind w:firstLine="709"/>
        <w:rPr>
          <w:sz w:val="24"/>
          <w:szCs w:val="24"/>
        </w:rPr>
      </w:pPr>
      <w:r w:rsidRPr="00120819">
        <w:rPr>
          <w:color w:val="000000"/>
          <w:sz w:val="28"/>
          <w:szCs w:val="28"/>
        </w:rPr>
        <w:t xml:space="preserve">Програма реалізовуватиметься впродовж </w:t>
      </w:r>
      <w:r w:rsidR="000177D4">
        <w:rPr>
          <w:color w:val="000000"/>
          <w:sz w:val="28"/>
          <w:szCs w:val="28"/>
        </w:rPr>
        <w:t xml:space="preserve">2021 - </w:t>
      </w:r>
      <w:r w:rsidRPr="00120819">
        <w:rPr>
          <w:color w:val="000000"/>
          <w:sz w:val="28"/>
          <w:szCs w:val="28"/>
        </w:rPr>
        <w:t>202</w:t>
      </w:r>
      <w:r>
        <w:rPr>
          <w:color w:val="000000"/>
          <w:sz w:val="28"/>
          <w:szCs w:val="28"/>
        </w:rPr>
        <w:t>6</w:t>
      </w:r>
      <w:r w:rsidR="000177D4">
        <w:rPr>
          <w:color w:val="000000"/>
          <w:sz w:val="28"/>
          <w:szCs w:val="28"/>
        </w:rPr>
        <w:t xml:space="preserve"> років</w:t>
      </w:r>
      <w:r w:rsidRPr="00120819">
        <w:rPr>
          <w:color w:val="000000"/>
          <w:sz w:val="28"/>
          <w:szCs w:val="28"/>
        </w:rPr>
        <w:t>.</w:t>
      </w:r>
    </w:p>
    <w:p w:rsidR="00E52234" w:rsidRDefault="00E52234" w:rsidP="00E52234">
      <w:pPr>
        <w:ind w:firstLine="709"/>
        <w:rPr>
          <w:sz w:val="24"/>
          <w:szCs w:val="24"/>
        </w:rPr>
      </w:pPr>
      <w:r w:rsidRPr="00120819">
        <w:rPr>
          <w:color w:val="000000"/>
          <w:sz w:val="28"/>
          <w:szCs w:val="28"/>
        </w:rPr>
        <w:t xml:space="preserve">Виконання визначених Програмою завдань здійснюється шляхом реалізації заходів Програми, які визначатимуться після затвердження обласного </w:t>
      </w:r>
      <w:r w:rsidRPr="00120819">
        <w:rPr>
          <w:color w:val="000000"/>
          <w:sz w:val="28"/>
          <w:szCs w:val="28"/>
        </w:rPr>
        <w:lastRenderedPageBreak/>
        <w:t>бюджету, шляхом розроблення та затвердження Переліку заходів Програми на відповідний рік.</w:t>
      </w:r>
    </w:p>
    <w:p w:rsidR="00E52234" w:rsidRPr="00120819" w:rsidRDefault="00E52234" w:rsidP="00E52234">
      <w:pPr>
        <w:ind w:firstLine="709"/>
        <w:rPr>
          <w:sz w:val="24"/>
          <w:szCs w:val="24"/>
        </w:rPr>
      </w:pPr>
      <w:r w:rsidRPr="00120819">
        <w:rPr>
          <w:color w:val="000000"/>
          <w:sz w:val="28"/>
          <w:szCs w:val="28"/>
        </w:rPr>
        <w:t>У разі потреби до Програми вносяться зміни в установленому порядку.</w:t>
      </w:r>
    </w:p>
    <w:p w:rsidR="00E52234" w:rsidRPr="006E3D27" w:rsidRDefault="00E52234" w:rsidP="00E52234">
      <w:pPr>
        <w:pStyle w:val="a9"/>
        <w:spacing w:line="240" w:lineRule="auto"/>
        <w:ind w:left="927"/>
        <w:rPr>
          <w:rFonts w:ascii="Times New Roman" w:eastAsia="Times New Roman" w:hAnsi="Times New Roman" w:cs="Times New Roman"/>
          <w:sz w:val="24"/>
          <w:szCs w:val="24"/>
          <w:lang w:val="uk-UA"/>
        </w:rPr>
      </w:pPr>
    </w:p>
    <w:p w:rsidR="00E52234" w:rsidRPr="006E3D27" w:rsidRDefault="00E52234" w:rsidP="00E52234">
      <w:pPr>
        <w:pStyle w:val="a9"/>
        <w:spacing w:line="240" w:lineRule="auto"/>
        <w:ind w:left="0"/>
        <w:jc w:val="center"/>
        <w:rPr>
          <w:rFonts w:ascii="Times New Roman" w:eastAsia="Times New Roman" w:hAnsi="Times New Roman" w:cs="Times New Roman"/>
          <w:sz w:val="24"/>
          <w:szCs w:val="24"/>
          <w:lang w:val="uk-UA"/>
        </w:rPr>
      </w:pPr>
      <w:r w:rsidRPr="006E3D27">
        <w:rPr>
          <w:rFonts w:ascii="Times New Roman" w:eastAsia="Times New Roman" w:hAnsi="Times New Roman" w:cs="Times New Roman"/>
          <w:b/>
          <w:bCs/>
          <w:color w:val="000000"/>
          <w:sz w:val="28"/>
          <w:szCs w:val="28"/>
          <w:lang w:val="uk-UA"/>
        </w:rPr>
        <w:t>Ресурсне забезпечення реалізації Програми</w:t>
      </w:r>
    </w:p>
    <w:p w:rsidR="00E52234" w:rsidRDefault="00E52234" w:rsidP="00E52234">
      <w:pPr>
        <w:ind w:firstLine="709"/>
        <w:rPr>
          <w:sz w:val="24"/>
          <w:szCs w:val="24"/>
        </w:rPr>
      </w:pPr>
      <w:r w:rsidRPr="001E3E99">
        <w:rPr>
          <w:color w:val="000000"/>
          <w:sz w:val="28"/>
          <w:szCs w:val="28"/>
        </w:rPr>
        <w:t>Плановий обсяг фінансового ресурсу для виконання завдань і заходів Програми буде визначатися під час формування, розгляду та затвердження обласного бюджету на відповідний бюджетний рік, а також за рахунок інших джерел, не заборонених законодавством.</w:t>
      </w:r>
    </w:p>
    <w:p w:rsidR="00E52234" w:rsidRPr="00120819" w:rsidRDefault="00E52234" w:rsidP="00E52234">
      <w:pPr>
        <w:ind w:firstLine="709"/>
        <w:rPr>
          <w:sz w:val="24"/>
          <w:szCs w:val="24"/>
        </w:rPr>
      </w:pPr>
      <w:r w:rsidRPr="00120819">
        <w:rPr>
          <w:color w:val="000000"/>
          <w:sz w:val="28"/>
          <w:szCs w:val="28"/>
        </w:rPr>
        <w:t xml:space="preserve">Обсяг фінансування Програми визначається під час складання </w:t>
      </w:r>
      <w:proofErr w:type="spellStart"/>
      <w:r w:rsidRPr="00120819">
        <w:rPr>
          <w:color w:val="000000"/>
          <w:sz w:val="28"/>
          <w:szCs w:val="28"/>
        </w:rPr>
        <w:t>проєкту</w:t>
      </w:r>
      <w:proofErr w:type="spellEnd"/>
      <w:r w:rsidRPr="00120819">
        <w:rPr>
          <w:color w:val="000000"/>
          <w:sz w:val="28"/>
          <w:szCs w:val="28"/>
        </w:rPr>
        <w:t xml:space="preserve"> обласного бюджету Львівської області на відповідний рік з урахуванням його можливостей.</w:t>
      </w:r>
      <w:r w:rsidR="006864AA">
        <w:rPr>
          <w:color w:val="000000"/>
          <w:sz w:val="28"/>
          <w:szCs w:val="28"/>
        </w:rPr>
        <w:t xml:space="preserve"> </w:t>
      </w:r>
    </w:p>
    <w:p w:rsidR="00E52234" w:rsidRPr="006E3D27" w:rsidRDefault="00E52234" w:rsidP="00E52234">
      <w:pPr>
        <w:rPr>
          <w:sz w:val="28"/>
          <w:szCs w:val="28"/>
        </w:rPr>
      </w:pPr>
    </w:p>
    <w:p w:rsidR="00E52234" w:rsidRPr="00F051D3" w:rsidRDefault="00E52234" w:rsidP="00E52234">
      <w:pPr>
        <w:jc w:val="center"/>
        <w:rPr>
          <w:b/>
          <w:bCs/>
          <w:sz w:val="28"/>
          <w:szCs w:val="28"/>
        </w:rPr>
      </w:pPr>
      <w:r w:rsidRPr="00F051D3">
        <w:rPr>
          <w:b/>
          <w:bCs/>
          <w:sz w:val="28"/>
          <w:szCs w:val="28"/>
        </w:rPr>
        <w:t>Координація та контроль за ходом виконання Програми</w:t>
      </w:r>
    </w:p>
    <w:p w:rsidR="00E52234" w:rsidRDefault="00E52234" w:rsidP="00E52234">
      <w:pPr>
        <w:ind w:firstLine="709"/>
        <w:rPr>
          <w:sz w:val="28"/>
          <w:szCs w:val="28"/>
        </w:rPr>
      </w:pPr>
      <w:r>
        <w:rPr>
          <w:sz w:val="28"/>
          <w:szCs w:val="28"/>
        </w:rPr>
        <w:t xml:space="preserve">Органом, що забезпечує координацію між виконавцями Програми, контролює її виконання та визначає порядок взаємного інформування й звітування, є </w:t>
      </w:r>
      <w:r w:rsidRPr="00F051D3">
        <w:rPr>
          <w:sz w:val="28"/>
          <w:szCs w:val="28"/>
        </w:rPr>
        <w:t>Департамент спорту, молоді та туризму</w:t>
      </w:r>
      <w:r>
        <w:rPr>
          <w:sz w:val="28"/>
          <w:szCs w:val="28"/>
        </w:rPr>
        <w:t xml:space="preserve"> Львівської обласної військової адміністрації.</w:t>
      </w:r>
    </w:p>
    <w:p w:rsidR="00DC3B4A" w:rsidRPr="001E3E99" w:rsidRDefault="00DC3B4A" w:rsidP="00E52234">
      <w:pPr>
        <w:ind w:firstLine="709"/>
        <w:rPr>
          <w:sz w:val="28"/>
          <w:szCs w:val="28"/>
        </w:rPr>
      </w:pPr>
      <w:r w:rsidRPr="001E3E99">
        <w:rPr>
          <w:sz w:val="28"/>
          <w:szCs w:val="28"/>
        </w:rPr>
        <w:t>Департамент спорту, молоді та туризму Львівської обласної військової адміністрації щоквартально, до 10 числа наступного місяця після звітного періоду, надає до департаменту економічної політики обласної державної адміністрації звіт про стан виконання заходів та завдань Програми згідно встановленої форми;</w:t>
      </w:r>
    </w:p>
    <w:p w:rsidR="00DC3B4A" w:rsidRPr="001E3E99" w:rsidRDefault="00DC3B4A" w:rsidP="00E52234">
      <w:pPr>
        <w:ind w:firstLine="709"/>
        <w:rPr>
          <w:sz w:val="28"/>
          <w:szCs w:val="28"/>
        </w:rPr>
      </w:pPr>
      <w:r w:rsidRPr="001E3E99">
        <w:rPr>
          <w:sz w:val="28"/>
          <w:szCs w:val="28"/>
        </w:rPr>
        <w:t>Річні звіти подаються до 20 січня;</w:t>
      </w:r>
    </w:p>
    <w:p w:rsidR="00DC3B4A" w:rsidRPr="001E3E99" w:rsidRDefault="00DC3B4A" w:rsidP="00E52234">
      <w:pPr>
        <w:ind w:firstLine="709"/>
        <w:rPr>
          <w:sz w:val="28"/>
          <w:szCs w:val="28"/>
        </w:rPr>
      </w:pPr>
      <w:r w:rsidRPr="001E3E99">
        <w:rPr>
          <w:sz w:val="28"/>
          <w:szCs w:val="28"/>
        </w:rPr>
        <w:t>Річні звіти повинні містити, крім табличних матеріалів, пояснювальну записку про виконану роботу. У пояснювальній записці надається інформація стосовно рівня досягнення мети Програми; виконання запланованих завдань, заходів та результативних показників, з роз’ясненням причин невиконання або недосягнення очікуваних результатів; обґрунтування щодо потреби в такій Програмі на наступний рік;</w:t>
      </w:r>
    </w:p>
    <w:p w:rsidR="00DC3B4A" w:rsidRDefault="00DC3B4A" w:rsidP="00E52234">
      <w:pPr>
        <w:ind w:firstLine="709"/>
        <w:rPr>
          <w:sz w:val="28"/>
          <w:szCs w:val="28"/>
        </w:rPr>
      </w:pPr>
    </w:p>
    <w:p w:rsidR="00E52234" w:rsidRPr="00F051D3" w:rsidRDefault="00E52234" w:rsidP="00E52234">
      <w:pPr>
        <w:rPr>
          <w:sz w:val="28"/>
          <w:szCs w:val="28"/>
        </w:rPr>
      </w:pPr>
    </w:p>
    <w:p w:rsidR="00E52234" w:rsidRPr="00DD0749" w:rsidRDefault="00E52234" w:rsidP="00E52234">
      <w:pPr>
        <w:ind w:firstLine="539"/>
        <w:rPr>
          <w:sz w:val="28"/>
          <w:szCs w:val="28"/>
        </w:rPr>
      </w:pPr>
    </w:p>
    <w:p w:rsidR="00570D26" w:rsidRPr="00570D26" w:rsidRDefault="00570D26" w:rsidP="004D7A10">
      <w:pPr>
        <w:rPr>
          <w:b/>
        </w:rPr>
      </w:pPr>
      <w:r w:rsidRPr="00570D26">
        <w:rPr>
          <w:b/>
        </w:rPr>
        <w:t xml:space="preserve">Директор департаменту спорту, </w:t>
      </w:r>
    </w:p>
    <w:p w:rsidR="00570D26" w:rsidRPr="00570D26" w:rsidRDefault="00570D26" w:rsidP="004D7A10">
      <w:pPr>
        <w:rPr>
          <w:b/>
        </w:rPr>
      </w:pPr>
      <w:r w:rsidRPr="00570D26">
        <w:rPr>
          <w:b/>
        </w:rPr>
        <w:t xml:space="preserve">молоді та туризму </w:t>
      </w:r>
    </w:p>
    <w:p w:rsidR="00D17478" w:rsidRPr="00570D26" w:rsidRDefault="00570D26" w:rsidP="004D7A10">
      <w:pPr>
        <w:rPr>
          <w:b/>
        </w:rPr>
      </w:pPr>
      <w:r w:rsidRPr="00570D26">
        <w:rPr>
          <w:b/>
        </w:rPr>
        <w:t xml:space="preserve">Львівської обласної державної адміністрації    </w:t>
      </w:r>
      <w:r>
        <w:rPr>
          <w:b/>
        </w:rPr>
        <w:t xml:space="preserve">                               </w:t>
      </w:r>
      <w:r w:rsidRPr="00570D26">
        <w:rPr>
          <w:b/>
        </w:rPr>
        <w:t xml:space="preserve">    Роман ХІМ</w:t>
      </w:r>
      <w:r w:rsidRPr="00570D26">
        <w:rPr>
          <w:b/>
          <w:lang w:val="en-US"/>
        </w:rPr>
        <w:t>’</w:t>
      </w:r>
      <w:r w:rsidRPr="00570D26">
        <w:rPr>
          <w:b/>
        </w:rPr>
        <w:t>ЯК</w:t>
      </w:r>
    </w:p>
    <w:sectPr w:rsidR="00D17478" w:rsidRPr="00570D26" w:rsidSect="007D78D1">
      <w:headerReference w:type="default" r:id="rId13"/>
      <w:pgSz w:w="11906" w:h="16838"/>
      <w:pgMar w:top="850" w:right="850" w:bottom="850" w:left="1417" w:header="708" w:footer="708"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27C" w:rsidRDefault="0051327C" w:rsidP="00066698">
      <w:r>
        <w:separator/>
      </w:r>
    </w:p>
  </w:endnote>
  <w:endnote w:type="continuationSeparator" w:id="0">
    <w:p w:rsidR="0051327C" w:rsidRDefault="0051327C" w:rsidP="00066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27C" w:rsidRDefault="0051327C" w:rsidP="00066698">
      <w:r>
        <w:separator/>
      </w:r>
    </w:p>
  </w:footnote>
  <w:footnote w:type="continuationSeparator" w:id="0">
    <w:p w:rsidR="0051327C" w:rsidRDefault="0051327C" w:rsidP="00066698">
      <w:r>
        <w:continuationSeparator/>
      </w:r>
    </w:p>
  </w:footnote>
  <w:footnote w:id="1">
    <w:p w:rsidR="00E52234" w:rsidRPr="00A46118" w:rsidRDefault="00E52234" w:rsidP="00E52234">
      <w:pPr>
        <w:pStyle w:val="ab"/>
        <w:rPr>
          <w:lang w:val="uk-UA"/>
        </w:rPr>
      </w:pPr>
      <w:r>
        <w:rPr>
          <w:rStyle w:val="ad"/>
        </w:rPr>
        <w:footnoteRef/>
      </w:r>
      <w:r>
        <w:t xml:space="preserve"> </w:t>
      </w:r>
      <w:r w:rsidRPr="00A46118">
        <w:rPr>
          <w:rFonts w:ascii="Times New Roman" w:hAnsi="Times New Roman" w:cs="Times New Roman"/>
          <w:shd w:val="clear" w:color="auto" w:fill="FFFFFF"/>
        </w:rPr>
        <w:t>За даними Державної служби статистики України станом на 1 січня 2022 року</w:t>
      </w:r>
    </w:p>
  </w:footnote>
  <w:footnote w:id="2">
    <w:p w:rsidR="00E52234" w:rsidRDefault="00E52234" w:rsidP="00E52234">
      <w:pPr>
        <w:pStyle w:val="ab"/>
        <w:rPr>
          <w:rFonts w:ascii="Times New Roman" w:hAnsi="Times New Roman" w:cs="Times New Roman"/>
          <w:lang w:val="uk-UA"/>
        </w:rPr>
      </w:pPr>
      <w:r>
        <w:rPr>
          <w:rStyle w:val="ad"/>
        </w:rPr>
        <w:footnoteRef/>
      </w:r>
      <w:r>
        <w:t xml:space="preserve"> </w:t>
      </w:r>
      <w:r w:rsidRPr="006F14FE">
        <w:rPr>
          <w:rFonts w:ascii="Times New Roman" w:hAnsi="Times New Roman" w:cs="Times New Roman"/>
          <w:lang w:val="uk-UA"/>
        </w:rPr>
        <w:t xml:space="preserve">За даними Міністерства молоді та спорту України, </w:t>
      </w:r>
      <w:hyperlink r:id="rId1" w:history="1">
        <w:r w:rsidRPr="008A2043">
          <w:rPr>
            <w:rStyle w:val="aa"/>
            <w:rFonts w:ascii="Times New Roman" w:hAnsi="Times New Roman" w:cs="Times New Roman"/>
            <w:lang w:val="uk-UA"/>
          </w:rPr>
          <w:t>https://mms.gov.ua/news/analiz-utvorennia-molodizhnykh-rad-v-ukraini-stanom-na-hruden-2024-roku</w:t>
        </w:r>
      </w:hyperlink>
    </w:p>
    <w:p w:rsidR="00E52234" w:rsidRPr="006F14FE" w:rsidRDefault="00E52234" w:rsidP="00E52234">
      <w:pPr>
        <w:pStyle w:val="ab"/>
        <w:rPr>
          <w:lang w:val="uk-UA"/>
        </w:rPr>
      </w:pPr>
    </w:p>
  </w:footnote>
  <w:footnote w:id="3">
    <w:p w:rsidR="00E52234" w:rsidRPr="00712C75" w:rsidRDefault="00E52234" w:rsidP="00E52234">
      <w:pPr>
        <w:pStyle w:val="ab"/>
        <w:rPr>
          <w:rFonts w:ascii="Times New Roman" w:hAnsi="Times New Roman" w:cs="Times New Roman"/>
          <w:lang w:val="uk-UA"/>
        </w:rPr>
      </w:pPr>
      <w:r w:rsidRPr="00712C75">
        <w:rPr>
          <w:rStyle w:val="ad"/>
        </w:rPr>
        <w:footnoteRef/>
      </w:r>
      <w:r w:rsidRPr="00712C75">
        <w:rPr>
          <w:rFonts w:ascii="Times New Roman" w:hAnsi="Times New Roman" w:cs="Times New Roman"/>
        </w:rPr>
        <w:t xml:space="preserve"> </w:t>
      </w:r>
      <w:r w:rsidRPr="00712C75">
        <w:rPr>
          <w:rFonts w:ascii="Times New Roman" w:hAnsi="Times New Roman" w:cs="Times New Roman"/>
          <w:lang w:val="uk-UA"/>
        </w:rPr>
        <w:t>Інвестиційний паспорт Львівщини</w:t>
      </w:r>
    </w:p>
  </w:footnote>
  <w:footnote w:id="4">
    <w:p w:rsidR="00E52234" w:rsidRPr="00182623" w:rsidRDefault="00E52234" w:rsidP="00E52234">
      <w:pPr>
        <w:pStyle w:val="ab"/>
        <w:rPr>
          <w:lang w:val="uk-UA"/>
        </w:rPr>
      </w:pPr>
      <w:r>
        <w:rPr>
          <w:rStyle w:val="ad"/>
        </w:rPr>
        <w:footnoteRef/>
      </w:r>
      <w:r>
        <w:t xml:space="preserve"> </w:t>
      </w:r>
      <w:r w:rsidRPr="00182623">
        <w:rPr>
          <w:rFonts w:ascii="Times New Roman" w:hAnsi="Times New Roman" w:cs="Times New Roman"/>
        </w:rPr>
        <w:t>Аналітичний звіт щодо ВПО у Львівській області, зокрема, їхнього соціально-економічного становища</w:t>
      </w:r>
      <w:r w:rsidRPr="00182623">
        <w:rPr>
          <w:rFonts w:ascii="Times New Roman" w:hAnsi="Times New Roman" w:cs="Times New Roman"/>
          <w:lang w:val="uk-UA"/>
        </w:rPr>
        <w:t xml:space="preserve">, </w:t>
      </w:r>
      <w:r w:rsidRPr="00182623">
        <w:rPr>
          <w:rFonts w:ascii="Times New Roman" w:hAnsi="Times New Roman" w:cs="Times New Roman"/>
        </w:rPr>
        <w:t>підготовлено в рамках проекту «Екстрена підтримка громадянського суспільства та ЗМІ у відповідь на війну в Україні» за сприяння Європейського Союзу</w:t>
      </w:r>
      <w:r w:rsidRPr="00182623">
        <w:rPr>
          <w:rFonts w:ascii="Times New Roman" w:hAnsi="Times New Roman" w:cs="Times New Roman"/>
          <w:lang w:val="uk-UA"/>
        </w:rPr>
        <w:t>.</w:t>
      </w:r>
    </w:p>
  </w:footnote>
  <w:footnote w:id="5">
    <w:p w:rsidR="00262015" w:rsidRPr="0088631F" w:rsidRDefault="00262015" w:rsidP="00262015">
      <w:pPr>
        <w:pStyle w:val="ab"/>
        <w:rPr>
          <w:rFonts w:ascii="Times New Roman" w:hAnsi="Times New Roman" w:cs="Times New Roman"/>
        </w:rPr>
      </w:pPr>
      <w:r>
        <w:rPr>
          <w:rStyle w:val="ad"/>
        </w:rPr>
        <w:footnoteRef/>
      </w:r>
      <w:r>
        <w:t xml:space="preserve"> </w:t>
      </w:r>
      <w:proofErr w:type="spellStart"/>
      <w:r w:rsidRPr="0088631F">
        <w:rPr>
          <w:rFonts w:ascii="Times New Roman" w:hAnsi="Times New Roman" w:cs="Times New Roman"/>
        </w:rPr>
        <w:t>Cost-Benefit</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Analysis</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of</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Mental</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Health</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and</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Psychosocial</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Support</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and</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Economic</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Recovery</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in</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Ukraine</w:t>
      </w:r>
      <w:proofErr w:type="spellEnd"/>
      <w:r w:rsidRPr="0088631F">
        <w:rPr>
          <w:rFonts w:ascii="Times New Roman" w:hAnsi="Times New Roman" w:cs="Times New Roman"/>
          <w:lang w:val="uk-UA"/>
        </w:rPr>
        <w:t>,</w:t>
      </w:r>
      <w:r w:rsidRPr="0088631F">
        <w:rPr>
          <w:rFonts w:ascii="Times New Roman" w:hAnsi="Times New Roman" w:cs="Times New Roman"/>
        </w:rPr>
        <w:t xml:space="preserve"> </w:t>
      </w:r>
      <w:hyperlink r:id="rId2" w:history="1">
        <w:r w:rsidRPr="0088631F">
          <w:rPr>
            <w:rStyle w:val="aa"/>
            <w:rFonts w:ascii="Times New Roman" w:hAnsi="Times New Roman" w:cs="Times New Roman"/>
          </w:rPr>
          <w:t>file:///C:/Users/Admin/Downloads/eng-9-11-2025-summary-final-report_fhi-360-cba-of-mhpss-in-ukraine%20(1).pdf</w:t>
        </w:r>
      </w:hyperlink>
    </w:p>
    <w:p w:rsidR="00262015" w:rsidRPr="0088631F" w:rsidRDefault="00262015" w:rsidP="00262015">
      <w:pPr>
        <w:pStyle w:val="ab"/>
        <w:rPr>
          <w:lang w:val="uk-UA"/>
        </w:rPr>
      </w:pPr>
    </w:p>
  </w:footnote>
  <w:footnote w:id="6">
    <w:p w:rsidR="00E52234" w:rsidRPr="00AB6624" w:rsidRDefault="00E52234" w:rsidP="00E52234">
      <w:pPr>
        <w:pStyle w:val="ab"/>
        <w:rPr>
          <w:lang w:val="uk-UA"/>
        </w:rPr>
      </w:pPr>
      <w:r>
        <w:rPr>
          <w:rStyle w:val="ad"/>
        </w:rPr>
        <w:footnoteRef/>
      </w:r>
      <w:r>
        <w:t xml:space="preserve"> </w:t>
      </w:r>
      <w:hyperlink r:id="rId3" w:history="1">
        <w:r>
          <w:rPr>
            <w:rStyle w:val="aa"/>
          </w:rPr>
          <w:t xml:space="preserve">Індекс майбутнього | Фундація Олени </w:t>
        </w:r>
        <w:proofErr w:type="spellStart"/>
        <w:r>
          <w:rPr>
            <w:rStyle w:val="aa"/>
          </w:rPr>
          <w:t>Зеленської</w:t>
        </w:r>
        <w:proofErr w:type="spellEnd"/>
      </w:hyperlink>
    </w:p>
  </w:footnote>
  <w:footnote w:id="7">
    <w:p w:rsidR="00E52234" w:rsidRPr="0088631F" w:rsidRDefault="00E52234" w:rsidP="00E52234">
      <w:pPr>
        <w:pStyle w:val="ab"/>
        <w:rPr>
          <w:lang w:val="uk-UA"/>
        </w:rPr>
      </w:pPr>
      <w:r>
        <w:rPr>
          <w:rStyle w:val="ad"/>
        </w:rPr>
        <w:footnoteRef/>
      </w:r>
      <w:r>
        <w:t xml:space="preserve"> </w:t>
      </w:r>
      <w:r w:rsidRPr="0088631F">
        <w:rPr>
          <w:rFonts w:ascii="Times New Roman" w:hAnsi="Times New Roman" w:cs="Times New Roman"/>
        </w:rPr>
        <w:t xml:space="preserve">Опитування було проведене від імені Центру аналізу та соціологічних досліджень (CISR) Міжнародного республіканського інституту (IRI) в рамках програми "Молодь як провідник української національної ідентичності" (UNITY) у співпраці з Радою міжнародних наукових досліджень та обмінів (IREX). Польові роботи виконувала компанія </w:t>
      </w:r>
      <w:proofErr w:type="spellStart"/>
      <w:r w:rsidRPr="0088631F">
        <w:rPr>
          <w:rFonts w:ascii="Times New Roman" w:hAnsi="Times New Roman" w:cs="Times New Roman"/>
        </w:rPr>
        <w:t>Info</w:t>
      </w:r>
      <w:proofErr w:type="spellEnd"/>
      <w:r w:rsidRPr="0088631F">
        <w:rPr>
          <w:rFonts w:ascii="Times New Roman" w:hAnsi="Times New Roman" w:cs="Times New Roman"/>
        </w:rPr>
        <w:t xml:space="preserve"> </w:t>
      </w:r>
      <w:proofErr w:type="spellStart"/>
      <w:r w:rsidRPr="0088631F">
        <w:rPr>
          <w:rFonts w:ascii="Times New Roman" w:hAnsi="Times New Roman" w:cs="Times New Roman"/>
        </w:rPr>
        <w:t>Sapiens</w:t>
      </w:r>
      <w:proofErr w:type="spellEnd"/>
      <w: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90872"/>
      <w:docPartObj>
        <w:docPartGallery w:val="Page Numbers (Top of Page)"/>
        <w:docPartUnique/>
      </w:docPartObj>
    </w:sdtPr>
    <w:sdtEndPr/>
    <w:sdtContent>
      <w:p w:rsidR="007D78D1" w:rsidRDefault="0051327C">
        <w:pPr>
          <w:pStyle w:val="a5"/>
          <w:jc w:val="center"/>
        </w:pPr>
      </w:p>
    </w:sdtContent>
  </w:sdt>
  <w:p w:rsidR="00066698" w:rsidRDefault="0006669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66BED"/>
    <w:multiLevelType w:val="hybridMultilevel"/>
    <w:tmpl w:val="53D47656"/>
    <w:lvl w:ilvl="0" w:tplc="2C60C86C">
      <w:start w:val="2"/>
      <w:numFmt w:val="bullet"/>
      <w:lvlText w:val="-"/>
      <w:lvlJc w:val="left"/>
      <w:pPr>
        <w:ind w:left="900" w:hanging="360"/>
      </w:pPr>
      <w:rPr>
        <w:rFonts w:ascii="Times New Roman" w:eastAsia="Times New Roman" w:hAnsi="Times New Roman" w:cs="Times New Roman" w:hint="default"/>
      </w:rPr>
    </w:lvl>
    <w:lvl w:ilvl="1" w:tplc="04220003" w:tentative="1">
      <w:start w:val="1"/>
      <w:numFmt w:val="bullet"/>
      <w:lvlText w:val="o"/>
      <w:lvlJc w:val="left"/>
      <w:pPr>
        <w:ind w:left="1620" w:hanging="360"/>
      </w:pPr>
      <w:rPr>
        <w:rFonts w:ascii="Courier New" w:hAnsi="Courier New" w:cs="Courier New" w:hint="default"/>
      </w:rPr>
    </w:lvl>
    <w:lvl w:ilvl="2" w:tplc="04220005" w:tentative="1">
      <w:start w:val="1"/>
      <w:numFmt w:val="bullet"/>
      <w:lvlText w:val=""/>
      <w:lvlJc w:val="left"/>
      <w:pPr>
        <w:ind w:left="2340" w:hanging="360"/>
      </w:pPr>
      <w:rPr>
        <w:rFonts w:ascii="Wingdings" w:hAnsi="Wingdings" w:hint="default"/>
      </w:rPr>
    </w:lvl>
    <w:lvl w:ilvl="3" w:tplc="04220001" w:tentative="1">
      <w:start w:val="1"/>
      <w:numFmt w:val="bullet"/>
      <w:lvlText w:val=""/>
      <w:lvlJc w:val="left"/>
      <w:pPr>
        <w:ind w:left="3060" w:hanging="360"/>
      </w:pPr>
      <w:rPr>
        <w:rFonts w:ascii="Symbol" w:hAnsi="Symbol" w:hint="default"/>
      </w:rPr>
    </w:lvl>
    <w:lvl w:ilvl="4" w:tplc="04220003" w:tentative="1">
      <w:start w:val="1"/>
      <w:numFmt w:val="bullet"/>
      <w:lvlText w:val="o"/>
      <w:lvlJc w:val="left"/>
      <w:pPr>
        <w:ind w:left="3780" w:hanging="360"/>
      </w:pPr>
      <w:rPr>
        <w:rFonts w:ascii="Courier New" w:hAnsi="Courier New" w:cs="Courier New" w:hint="default"/>
      </w:rPr>
    </w:lvl>
    <w:lvl w:ilvl="5" w:tplc="04220005" w:tentative="1">
      <w:start w:val="1"/>
      <w:numFmt w:val="bullet"/>
      <w:lvlText w:val=""/>
      <w:lvlJc w:val="left"/>
      <w:pPr>
        <w:ind w:left="4500" w:hanging="360"/>
      </w:pPr>
      <w:rPr>
        <w:rFonts w:ascii="Wingdings" w:hAnsi="Wingdings" w:hint="default"/>
      </w:rPr>
    </w:lvl>
    <w:lvl w:ilvl="6" w:tplc="04220001" w:tentative="1">
      <w:start w:val="1"/>
      <w:numFmt w:val="bullet"/>
      <w:lvlText w:val=""/>
      <w:lvlJc w:val="left"/>
      <w:pPr>
        <w:ind w:left="5220" w:hanging="360"/>
      </w:pPr>
      <w:rPr>
        <w:rFonts w:ascii="Symbol" w:hAnsi="Symbol" w:hint="default"/>
      </w:rPr>
    </w:lvl>
    <w:lvl w:ilvl="7" w:tplc="04220003" w:tentative="1">
      <w:start w:val="1"/>
      <w:numFmt w:val="bullet"/>
      <w:lvlText w:val="o"/>
      <w:lvlJc w:val="left"/>
      <w:pPr>
        <w:ind w:left="5940" w:hanging="360"/>
      </w:pPr>
      <w:rPr>
        <w:rFonts w:ascii="Courier New" w:hAnsi="Courier New" w:cs="Courier New" w:hint="default"/>
      </w:rPr>
    </w:lvl>
    <w:lvl w:ilvl="8" w:tplc="04220005" w:tentative="1">
      <w:start w:val="1"/>
      <w:numFmt w:val="bullet"/>
      <w:lvlText w:val=""/>
      <w:lvlJc w:val="left"/>
      <w:pPr>
        <w:ind w:left="6660" w:hanging="360"/>
      </w:pPr>
      <w:rPr>
        <w:rFonts w:ascii="Wingdings" w:hAnsi="Wingdings" w:hint="default"/>
      </w:rPr>
    </w:lvl>
  </w:abstractNum>
  <w:abstractNum w:abstractNumId="1" w15:restartNumberingAfterBreak="0">
    <w:nsid w:val="089918F7"/>
    <w:multiLevelType w:val="hybridMultilevel"/>
    <w:tmpl w:val="2F60D46C"/>
    <w:lvl w:ilvl="0" w:tplc="6214FA34">
      <w:start w:val="3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 w15:restartNumberingAfterBreak="0">
    <w:nsid w:val="15E63D8C"/>
    <w:multiLevelType w:val="hybridMultilevel"/>
    <w:tmpl w:val="964438B6"/>
    <w:lvl w:ilvl="0" w:tplc="04220011">
      <w:start w:val="1"/>
      <w:numFmt w:val="decimal"/>
      <w:lvlText w:val="%1)"/>
      <w:lvlJc w:val="left"/>
      <w:pPr>
        <w:ind w:left="149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FC54110"/>
    <w:multiLevelType w:val="hybridMultilevel"/>
    <w:tmpl w:val="658AE186"/>
    <w:lvl w:ilvl="0" w:tplc="67DE23C6">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6A840895"/>
    <w:multiLevelType w:val="hybridMultilevel"/>
    <w:tmpl w:val="EFA662C2"/>
    <w:lvl w:ilvl="0" w:tplc="3B022CC6">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373"/>
    <w:rsid w:val="00011C95"/>
    <w:rsid w:val="000177D4"/>
    <w:rsid w:val="0002163F"/>
    <w:rsid w:val="00066698"/>
    <w:rsid w:val="00075558"/>
    <w:rsid w:val="0009187F"/>
    <w:rsid w:val="000B4F15"/>
    <w:rsid w:val="000D68B8"/>
    <w:rsid w:val="000F64D7"/>
    <w:rsid w:val="001253BE"/>
    <w:rsid w:val="001874AB"/>
    <w:rsid w:val="00195E75"/>
    <w:rsid w:val="001A2CE7"/>
    <w:rsid w:val="001E3E99"/>
    <w:rsid w:val="00203EB0"/>
    <w:rsid w:val="00233416"/>
    <w:rsid w:val="00234D15"/>
    <w:rsid w:val="00262015"/>
    <w:rsid w:val="00273373"/>
    <w:rsid w:val="002B0F12"/>
    <w:rsid w:val="00312E83"/>
    <w:rsid w:val="003C7BB5"/>
    <w:rsid w:val="003D0EE0"/>
    <w:rsid w:val="003F6655"/>
    <w:rsid w:val="00416251"/>
    <w:rsid w:val="00457B46"/>
    <w:rsid w:val="00466A0D"/>
    <w:rsid w:val="004C4DAA"/>
    <w:rsid w:val="004D7A10"/>
    <w:rsid w:val="0051327C"/>
    <w:rsid w:val="00526FCE"/>
    <w:rsid w:val="00564518"/>
    <w:rsid w:val="00570D26"/>
    <w:rsid w:val="00603D54"/>
    <w:rsid w:val="00626C18"/>
    <w:rsid w:val="00642C0E"/>
    <w:rsid w:val="006864AA"/>
    <w:rsid w:val="0069005E"/>
    <w:rsid w:val="006F6066"/>
    <w:rsid w:val="006F790A"/>
    <w:rsid w:val="007063A2"/>
    <w:rsid w:val="007919C7"/>
    <w:rsid w:val="007A2E3E"/>
    <w:rsid w:val="007C3433"/>
    <w:rsid w:val="007D78D1"/>
    <w:rsid w:val="00804720"/>
    <w:rsid w:val="00826ECD"/>
    <w:rsid w:val="008307EF"/>
    <w:rsid w:val="00843626"/>
    <w:rsid w:val="00852F7E"/>
    <w:rsid w:val="008A4F3E"/>
    <w:rsid w:val="008F2266"/>
    <w:rsid w:val="0091005F"/>
    <w:rsid w:val="00911BE9"/>
    <w:rsid w:val="00922F75"/>
    <w:rsid w:val="0092410D"/>
    <w:rsid w:val="00925796"/>
    <w:rsid w:val="00931098"/>
    <w:rsid w:val="009666D9"/>
    <w:rsid w:val="00996422"/>
    <w:rsid w:val="009B5FD8"/>
    <w:rsid w:val="009F0D65"/>
    <w:rsid w:val="00A012AD"/>
    <w:rsid w:val="00A124C3"/>
    <w:rsid w:val="00A84221"/>
    <w:rsid w:val="00A94B0B"/>
    <w:rsid w:val="00AB05BF"/>
    <w:rsid w:val="00AB22FF"/>
    <w:rsid w:val="00B14FBA"/>
    <w:rsid w:val="00B30886"/>
    <w:rsid w:val="00B31E49"/>
    <w:rsid w:val="00B65D26"/>
    <w:rsid w:val="00B76454"/>
    <w:rsid w:val="00B96FDF"/>
    <w:rsid w:val="00BA5E0C"/>
    <w:rsid w:val="00BE2C08"/>
    <w:rsid w:val="00CC77E6"/>
    <w:rsid w:val="00CC78A9"/>
    <w:rsid w:val="00CD61CE"/>
    <w:rsid w:val="00CE770C"/>
    <w:rsid w:val="00D00CD9"/>
    <w:rsid w:val="00D17478"/>
    <w:rsid w:val="00D26860"/>
    <w:rsid w:val="00D42291"/>
    <w:rsid w:val="00D766E2"/>
    <w:rsid w:val="00D85039"/>
    <w:rsid w:val="00D8775F"/>
    <w:rsid w:val="00D90ECD"/>
    <w:rsid w:val="00D94184"/>
    <w:rsid w:val="00DB00C0"/>
    <w:rsid w:val="00DB7198"/>
    <w:rsid w:val="00DC3B4A"/>
    <w:rsid w:val="00DD7442"/>
    <w:rsid w:val="00DF46EA"/>
    <w:rsid w:val="00DF4AE2"/>
    <w:rsid w:val="00E077DF"/>
    <w:rsid w:val="00E2165E"/>
    <w:rsid w:val="00E461A3"/>
    <w:rsid w:val="00E52234"/>
    <w:rsid w:val="00E85077"/>
    <w:rsid w:val="00F36872"/>
    <w:rsid w:val="00FB23F6"/>
    <w:rsid w:val="00FB6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F77BB9"/>
  <w15:docId w15:val="{E6899617-D6BA-406B-87A0-052597C84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7A10"/>
    <w:pPr>
      <w:spacing w:after="0" w:line="240" w:lineRule="auto"/>
      <w:jc w:val="both"/>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4D7A10"/>
    <w:pPr>
      <w:jc w:val="left"/>
    </w:pPr>
    <w:rPr>
      <w:rFonts w:ascii="Verdana" w:hAnsi="Verdana" w:cs="Verdana"/>
      <w:sz w:val="20"/>
      <w:lang w:val="en-US" w:eastAsia="en-US"/>
    </w:rPr>
  </w:style>
  <w:style w:type="paragraph" w:styleId="2">
    <w:name w:val="Body Text 2"/>
    <w:basedOn w:val="a"/>
    <w:link w:val="20"/>
    <w:rsid w:val="004D7A10"/>
    <w:pPr>
      <w:spacing w:after="120" w:line="480" w:lineRule="auto"/>
      <w:jc w:val="left"/>
    </w:pPr>
    <w:rPr>
      <w:sz w:val="20"/>
      <w:lang w:val="ru-RU"/>
    </w:rPr>
  </w:style>
  <w:style w:type="character" w:customStyle="1" w:styleId="20">
    <w:name w:val="Основний текст 2 Знак"/>
    <w:basedOn w:val="a0"/>
    <w:link w:val="2"/>
    <w:rsid w:val="004D7A10"/>
    <w:rPr>
      <w:rFonts w:ascii="Times New Roman" w:eastAsia="Times New Roman" w:hAnsi="Times New Roman" w:cs="Times New Roman"/>
      <w:sz w:val="20"/>
      <w:szCs w:val="20"/>
      <w:lang w:val="ru-RU" w:eastAsia="ru-RU"/>
    </w:rPr>
  </w:style>
  <w:style w:type="paragraph" w:customStyle="1" w:styleId="NormalText">
    <w:name w:val="Normal Text"/>
    <w:basedOn w:val="a"/>
    <w:rsid w:val="004D7A10"/>
    <w:pPr>
      <w:ind w:firstLine="567"/>
    </w:pPr>
    <w:rPr>
      <w:lang w:val="en-US"/>
    </w:rPr>
  </w:style>
  <w:style w:type="paragraph" w:styleId="a4">
    <w:name w:val="Normal (Web)"/>
    <w:basedOn w:val="a"/>
    <w:rsid w:val="004D7A10"/>
    <w:pPr>
      <w:spacing w:before="100" w:beforeAutospacing="1" w:after="100" w:afterAutospacing="1"/>
      <w:jc w:val="left"/>
    </w:pPr>
    <w:rPr>
      <w:sz w:val="24"/>
      <w:szCs w:val="24"/>
      <w:lang w:eastAsia="uk-UA"/>
    </w:rPr>
  </w:style>
  <w:style w:type="character" w:customStyle="1" w:styleId="rvts0">
    <w:name w:val="rvts0"/>
    <w:basedOn w:val="a0"/>
    <w:rsid w:val="004D7A10"/>
  </w:style>
  <w:style w:type="paragraph" w:customStyle="1" w:styleId="rvps2">
    <w:name w:val="rvps2"/>
    <w:basedOn w:val="a"/>
    <w:rsid w:val="004D7A10"/>
    <w:pPr>
      <w:spacing w:before="100" w:beforeAutospacing="1" w:after="100" w:afterAutospacing="1"/>
      <w:jc w:val="left"/>
    </w:pPr>
    <w:rPr>
      <w:sz w:val="24"/>
      <w:szCs w:val="24"/>
      <w:lang w:eastAsia="uk-UA"/>
    </w:rPr>
  </w:style>
  <w:style w:type="character" w:customStyle="1" w:styleId="freebirdanalyticsviewquestiontitle">
    <w:name w:val="freebirdanalyticsviewquestiontitle"/>
    <w:rsid w:val="004D7A10"/>
  </w:style>
  <w:style w:type="paragraph" w:styleId="a5">
    <w:name w:val="header"/>
    <w:basedOn w:val="a"/>
    <w:link w:val="a6"/>
    <w:uiPriority w:val="99"/>
    <w:unhideWhenUsed/>
    <w:rsid w:val="00066698"/>
    <w:pPr>
      <w:tabs>
        <w:tab w:val="center" w:pos="4819"/>
        <w:tab w:val="right" w:pos="9639"/>
      </w:tabs>
    </w:pPr>
  </w:style>
  <w:style w:type="character" w:customStyle="1" w:styleId="a6">
    <w:name w:val="Верхній колонтитул Знак"/>
    <w:basedOn w:val="a0"/>
    <w:link w:val="a5"/>
    <w:uiPriority w:val="99"/>
    <w:rsid w:val="00066698"/>
    <w:rPr>
      <w:rFonts w:ascii="Times New Roman" w:eastAsia="Times New Roman" w:hAnsi="Times New Roman" w:cs="Times New Roman"/>
      <w:sz w:val="26"/>
      <w:szCs w:val="20"/>
      <w:lang w:eastAsia="ru-RU"/>
    </w:rPr>
  </w:style>
  <w:style w:type="paragraph" w:styleId="a7">
    <w:name w:val="footer"/>
    <w:basedOn w:val="a"/>
    <w:link w:val="a8"/>
    <w:uiPriority w:val="99"/>
    <w:unhideWhenUsed/>
    <w:rsid w:val="00066698"/>
    <w:pPr>
      <w:tabs>
        <w:tab w:val="center" w:pos="4819"/>
        <w:tab w:val="right" w:pos="9639"/>
      </w:tabs>
    </w:pPr>
  </w:style>
  <w:style w:type="character" w:customStyle="1" w:styleId="a8">
    <w:name w:val="Нижній колонтитул Знак"/>
    <w:basedOn w:val="a0"/>
    <w:link w:val="a7"/>
    <w:uiPriority w:val="99"/>
    <w:rsid w:val="00066698"/>
    <w:rPr>
      <w:rFonts w:ascii="Times New Roman" w:eastAsia="Times New Roman" w:hAnsi="Times New Roman" w:cs="Times New Roman"/>
      <w:sz w:val="26"/>
      <w:szCs w:val="20"/>
      <w:lang w:eastAsia="ru-RU"/>
    </w:rPr>
  </w:style>
  <w:style w:type="paragraph" w:styleId="a9">
    <w:name w:val="List Paragraph"/>
    <w:basedOn w:val="a"/>
    <w:uiPriority w:val="34"/>
    <w:qFormat/>
    <w:rsid w:val="00E52234"/>
    <w:pPr>
      <w:spacing w:line="276" w:lineRule="auto"/>
      <w:ind w:left="720"/>
      <w:contextualSpacing/>
      <w:jc w:val="left"/>
    </w:pPr>
    <w:rPr>
      <w:rFonts w:ascii="Arial" w:eastAsia="Arial" w:hAnsi="Arial" w:cs="Arial"/>
      <w:sz w:val="22"/>
      <w:szCs w:val="22"/>
      <w:lang w:val="uk" w:eastAsia="uk-UA"/>
    </w:rPr>
  </w:style>
  <w:style w:type="character" w:styleId="aa">
    <w:name w:val="Hyperlink"/>
    <w:basedOn w:val="a0"/>
    <w:uiPriority w:val="99"/>
    <w:unhideWhenUsed/>
    <w:rsid w:val="00E52234"/>
    <w:rPr>
      <w:color w:val="0563C1" w:themeColor="hyperlink"/>
      <w:u w:val="single"/>
    </w:rPr>
  </w:style>
  <w:style w:type="paragraph" w:styleId="ab">
    <w:name w:val="footnote text"/>
    <w:basedOn w:val="a"/>
    <w:link w:val="ac"/>
    <w:uiPriority w:val="99"/>
    <w:semiHidden/>
    <w:unhideWhenUsed/>
    <w:rsid w:val="00E52234"/>
    <w:pPr>
      <w:jc w:val="left"/>
    </w:pPr>
    <w:rPr>
      <w:rFonts w:ascii="Arial" w:eastAsia="Arial" w:hAnsi="Arial" w:cs="Arial"/>
      <w:sz w:val="20"/>
      <w:lang w:val="uk" w:eastAsia="uk-UA"/>
    </w:rPr>
  </w:style>
  <w:style w:type="character" w:customStyle="1" w:styleId="ac">
    <w:name w:val="Текст виноски Знак"/>
    <w:basedOn w:val="a0"/>
    <w:link w:val="ab"/>
    <w:uiPriority w:val="99"/>
    <w:semiHidden/>
    <w:rsid w:val="00E52234"/>
    <w:rPr>
      <w:rFonts w:ascii="Arial" w:eastAsia="Arial" w:hAnsi="Arial" w:cs="Arial"/>
      <w:sz w:val="20"/>
      <w:szCs w:val="20"/>
      <w:lang w:val="uk" w:eastAsia="uk-UA"/>
    </w:rPr>
  </w:style>
  <w:style w:type="character" w:styleId="ad">
    <w:name w:val="footnote reference"/>
    <w:basedOn w:val="a0"/>
    <w:uiPriority w:val="99"/>
    <w:semiHidden/>
    <w:unhideWhenUsed/>
    <w:rsid w:val="00E52234"/>
    <w:rPr>
      <w:vertAlign w:val="superscript"/>
    </w:rPr>
  </w:style>
  <w:style w:type="table" w:styleId="ae">
    <w:name w:val="Table Grid"/>
    <w:basedOn w:val="a1"/>
    <w:uiPriority w:val="39"/>
    <w:rsid w:val="00E52234"/>
    <w:pPr>
      <w:spacing w:after="0" w:line="240" w:lineRule="auto"/>
    </w:pPr>
    <w:rPr>
      <w:rFonts w:ascii="Arial" w:eastAsia="Arial" w:hAnsi="Arial" w:cs="Arial"/>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884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zelenskafoundation.org/uk/future-index" TargetMode="External"/><Relationship Id="rId2" Type="http://schemas.openxmlformats.org/officeDocument/2006/relationships/hyperlink" Target="file:///C:/Users/Admin/Downloads/eng-9-11-2025-summary-final-report_fhi-360-cba-of-mhpss-in-ukraine%20(1).pdf" TargetMode="External"/><Relationship Id="rId1" Type="http://schemas.openxmlformats.org/officeDocument/2006/relationships/hyperlink" Target="https://mms.gov.ua/news/analiz-utvorennia-molodizhnykh-rad-v-ukraini-stanom-na-hruden-2024-rok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6581E-FEAA-4F21-8750-A17DE97A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14167</Words>
  <Characters>8076</Characters>
  <Application>Microsoft Office Word</Application>
  <DocSecurity>0</DocSecurity>
  <Lines>67</Lines>
  <Paragraphs>44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Loda4835</dc:creator>
  <cp:lastModifiedBy>Sport</cp:lastModifiedBy>
  <cp:revision>7</cp:revision>
  <cp:lastPrinted>2021-02-03T09:47:00Z</cp:lastPrinted>
  <dcterms:created xsi:type="dcterms:W3CDTF">2025-11-27T08:36:00Z</dcterms:created>
  <dcterms:modified xsi:type="dcterms:W3CDTF">2025-12-30T15:00:00Z</dcterms:modified>
</cp:coreProperties>
</file>